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3EE6" w:rsidRPr="00A94EB0" w:rsidRDefault="00E87FAD" w:rsidP="00E87FAD">
      <w:pPr>
        <w:spacing w:after="0" w:line="240" w:lineRule="auto"/>
        <w:rPr>
          <w:rFonts w:cstheme="minorHAnsi"/>
        </w:rPr>
      </w:pPr>
      <w:r w:rsidRPr="00A94EB0">
        <w:rPr>
          <w:rFonts w:cstheme="minorHAnsi"/>
        </w:rPr>
        <w:t xml:space="preserve">In this handout, we will discuss different types of and methods for establishing </w:t>
      </w:r>
      <w:r w:rsidR="009460BC" w:rsidRPr="00A94EB0">
        <w:rPr>
          <w:rFonts w:cstheme="minorHAnsi"/>
          <w:i/>
        </w:rPr>
        <w:t>validity</w:t>
      </w:r>
      <w:r w:rsidRPr="00A94EB0">
        <w:rPr>
          <w:rFonts w:cstheme="minorHAnsi"/>
        </w:rPr>
        <w:t>.  Recall that this</w:t>
      </w:r>
      <w:r w:rsidR="00A94EB0" w:rsidRPr="00A94EB0">
        <w:rPr>
          <w:rFonts w:cstheme="minorHAnsi"/>
        </w:rPr>
        <w:t xml:space="preserve"> concept </w:t>
      </w:r>
      <w:proofErr w:type="gramStart"/>
      <w:r w:rsidR="00A94EB0" w:rsidRPr="00A94EB0">
        <w:rPr>
          <w:rFonts w:cstheme="minorHAnsi"/>
        </w:rPr>
        <w:t>was defined</w:t>
      </w:r>
      <w:proofErr w:type="gramEnd"/>
      <w:r w:rsidR="00A94EB0" w:rsidRPr="00A94EB0">
        <w:rPr>
          <w:rFonts w:cstheme="minorHAnsi"/>
        </w:rPr>
        <w:t xml:space="preserve"> in an earlier handout</w:t>
      </w:r>
      <w:r w:rsidR="00756BBC" w:rsidRPr="00A94EB0">
        <w:rPr>
          <w:rFonts w:cstheme="minorHAnsi"/>
        </w:rPr>
        <w:t xml:space="preserve"> </w:t>
      </w:r>
      <w:r w:rsidRPr="00A94EB0">
        <w:rPr>
          <w:rFonts w:cstheme="minorHAnsi"/>
        </w:rPr>
        <w:t>as follows.</w:t>
      </w:r>
      <w:r w:rsidRPr="00A94EB0">
        <w:rPr>
          <w:rFonts w:cstheme="minorHAnsi"/>
        </w:rPr>
        <w:br/>
      </w:r>
    </w:p>
    <w:tbl>
      <w:tblPr>
        <w:tblStyle w:val="TableGrid"/>
        <w:tblW w:w="0" w:type="auto"/>
        <w:tblInd w:w="108" w:type="dxa"/>
        <w:tblLook w:val="04A0" w:firstRow="1" w:lastRow="0" w:firstColumn="1" w:lastColumn="0" w:noHBand="0" w:noVBand="1"/>
      </w:tblPr>
      <w:tblGrid>
        <w:gridCol w:w="9242"/>
      </w:tblGrid>
      <w:tr w:rsidR="004D3EE6" w:rsidRPr="00A94EB0" w:rsidTr="00E87FAD">
        <w:trPr>
          <w:trHeight w:val="413"/>
        </w:trPr>
        <w:tc>
          <w:tcPr>
            <w:tcW w:w="9468" w:type="dxa"/>
            <w:shd w:val="clear" w:color="auto" w:fill="000000" w:themeFill="text1"/>
            <w:vAlign w:val="center"/>
          </w:tcPr>
          <w:p w:rsidR="004D3EE6" w:rsidRPr="00A94EB0" w:rsidRDefault="00E87FAD" w:rsidP="007011F0">
            <w:pPr>
              <w:contextualSpacing/>
              <w:rPr>
                <w:rFonts w:cstheme="minorHAnsi"/>
              </w:rPr>
            </w:pPr>
            <w:r w:rsidRPr="00A94EB0">
              <w:rPr>
                <w:rFonts w:cstheme="minorHAnsi"/>
              </w:rPr>
              <w:t>Definition</w:t>
            </w:r>
          </w:p>
        </w:tc>
      </w:tr>
      <w:tr w:rsidR="004D3EE6" w:rsidRPr="00A94EB0" w:rsidTr="00E87FAD">
        <w:trPr>
          <w:trHeight w:val="746"/>
        </w:trPr>
        <w:tc>
          <w:tcPr>
            <w:tcW w:w="9468" w:type="dxa"/>
            <w:vAlign w:val="center"/>
          </w:tcPr>
          <w:p w:rsidR="004D3EE6" w:rsidRPr="00A94EB0" w:rsidRDefault="009460BC" w:rsidP="009460BC">
            <w:pPr>
              <w:contextualSpacing/>
              <w:rPr>
                <w:rFonts w:cstheme="minorHAnsi"/>
              </w:rPr>
            </w:pPr>
            <w:r w:rsidRPr="00A94EB0">
              <w:rPr>
                <w:rFonts w:cstheme="minorHAnsi"/>
                <w:b/>
              </w:rPr>
              <w:t xml:space="preserve">Validity </w:t>
            </w:r>
            <w:r w:rsidRPr="00A94EB0">
              <w:rPr>
                <w:rFonts w:cstheme="minorHAnsi"/>
              </w:rPr>
              <w:t>– This is the extent to which survey question</w:t>
            </w:r>
            <w:r w:rsidR="00756BBC" w:rsidRPr="00A94EB0">
              <w:rPr>
                <w:rFonts w:cstheme="minorHAnsi"/>
              </w:rPr>
              <w:t>s</w:t>
            </w:r>
            <w:r w:rsidRPr="00A94EB0">
              <w:rPr>
                <w:rFonts w:cstheme="minorHAnsi"/>
              </w:rPr>
              <w:t xml:space="preserve"> measure what they are supposed to measure.</w:t>
            </w:r>
          </w:p>
        </w:tc>
      </w:tr>
    </w:tbl>
    <w:p w:rsidR="009460BC" w:rsidRPr="00A94EB0" w:rsidRDefault="004D3EE6" w:rsidP="007A063A">
      <w:pPr>
        <w:spacing w:line="240" w:lineRule="auto"/>
        <w:rPr>
          <w:rFonts w:cstheme="minorHAnsi"/>
        </w:rPr>
      </w:pPr>
      <w:r w:rsidRPr="00A94EB0">
        <w:rPr>
          <w:rFonts w:cstheme="minorHAnsi"/>
        </w:rPr>
        <w:br/>
      </w:r>
      <w:r w:rsidR="000A520E" w:rsidRPr="00A94EB0">
        <w:rPr>
          <w:rFonts w:cstheme="minorHAnsi"/>
        </w:rPr>
        <w:br/>
      </w:r>
      <w:r w:rsidR="00E87FAD" w:rsidRPr="00A94EB0">
        <w:rPr>
          <w:rFonts w:cstheme="minorHAnsi"/>
        </w:rPr>
        <w:t xml:space="preserve">In order for survey results to be useful, the survey must demonstrate </w:t>
      </w:r>
      <w:r w:rsidR="009460BC" w:rsidRPr="00A94EB0">
        <w:rPr>
          <w:rFonts w:cstheme="minorHAnsi"/>
          <w:b/>
        </w:rPr>
        <w:t>validity</w:t>
      </w:r>
      <w:r w:rsidR="00E87FAD" w:rsidRPr="00A94EB0">
        <w:rPr>
          <w:rFonts w:cstheme="minorHAnsi"/>
        </w:rPr>
        <w:t xml:space="preserve">.  </w:t>
      </w:r>
      <w:r w:rsidR="001904E1" w:rsidRPr="00A94EB0">
        <w:rPr>
          <w:rFonts w:cstheme="minorHAnsi"/>
        </w:rPr>
        <w:t xml:space="preserve">To better understand this concept, </w:t>
      </w:r>
      <w:r w:rsidR="007A063A" w:rsidRPr="00A94EB0">
        <w:rPr>
          <w:rFonts w:cstheme="minorHAnsi"/>
        </w:rPr>
        <w:t>it may help to also consider</w:t>
      </w:r>
      <w:r w:rsidR="001904E1" w:rsidRPr="00A94EB0">
        <w:rPr>
          <w:rFonts w:cstheme="minorHAnsi"/>
        </w:rPr>
        <w:t xml:space="preserve"> the concept of </w:t>
      </w:r>
      <w:r w:rsidR="001904E1" w:rsidRPr="00A94EB0">
        <w:rPr>
          <w:rFonts w:cstheme="minorHAnsi"/>
          <w:b/>
        </w:rPr>
        <w:t>operationalization</w:t>
      </w:r>
      <w:r w:rsidR="001904E1" w:rsidRPr="00A94EB0">
        <w:rPr>
          <w:rFonts w:cstheme="minorHAnsi"/>
        </w:rPr>
        <w:t>.  Wikipedia.org defines this as follows:</w:t>
      </w:r>
      <w:r w:rsidR="001904E1" w:rsidRPr="00A94EB0">
        <w:rPr>
          <w:rFonts w:cstheme="minorHAnsi"/>
        </w:rPr>
        <w:br/>
      </w:r>
      <w:r w:rsidR="001904E1" w:rsidRPr="00A94EB0">
        <w:rPr>
          <w:rFonts w:cstheme="minorHAnsi"/>
        </w:rPr>
        <w:br/>
      </w:r>
      <w:r w:rsidR="001904E1" w:rsidRPr="00A94EB0">
        <w:rPr>
          <w:rFonts w:cstheme="minorHAnsi"/>
          <w:noProof/>
        </w:rPr>
        <w:drawing>
          <wp:inline distT="0" distB="0" distL="0" distR="0">
            <wp:extent cx="6036050" cy="1630245"/>
            <wp:effectExtent l="19050" t="19050" r="22225" b="273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6791" cy="1630445"/>
                    </a:xfrm>
                    <a:prstGeom prst="rect">
                      <a:avLst/>
                    </a:prstGeom>
                    <a:noFill/>
                    <a:ln>
                      <a:solidFill>
                        <a:schemeClr val="tx1"/>
                      </a:solidFill>
                    </a:ln>
                  </pic:spPr>
                </pic:pic>
              </a:graphicData>
            </a:graphic>
          </wp:inline>
        </w:drawing>
      </w:r>
    </w:p>
    <w:p w:rsidR="001904E1" w:rsidRPr="00A94EB0" w:rsidRDefault="000A520E" w:rsidP="007A063A">
      <w:pPr>
        <w:spacing w:line="240" w:lineRule="auto"/>
        <w:jc w:val="both"/>
        <w:rPr>
          <w:rFonts w:cstheme="minorHAnsi"/>
        </w:rPr>
      </w:pPr>
      <w:r w:rsidRPr="00A94EB0">
        <w:rPr>
          <w:rFonts w:cstheme="minorHAnsi"/>
        </w:rPr>
        <w:br/>
      </w:r>
      <w:r w:rsidR="001904E1" w:rsidRPr="00A94EB0">
        <w:rPr>
          <w:rFonts w:cstheme="minorHAnsi"/>
        </w:rPr>
        <w:t xml:space="preserve">For example, in the previous handout we considered measuring students’ interest in statistics using the SATS (Survey of Attitudes </w:t>
      </w:r>
      <w:proofErr w:type="gramStart"/>
      <w:r w:rsidR="001904E1" w:rsidRPr="00A94EB0">
        <w:rPr>
          <w:rFonts w:cstheme="minorHAnsi"/>
        </w:rPr>
        <w:t>Toward</w:t>
      </w:r>
      <w:proofErr w:type="gramEnd"/>
      <w:r w:rsidR="001904E1" w:rsidRPr="00A94EB0">
        <w:rPr>
          <w:rFonts w:cstheme="minorHAnsi"/>
        </w:rPr>
        <w:t xml:space="preserve"> Statistics).  </w:t>
      </w:r>
      <w:r w:rsidR="00944594" w:rsidRPr="00A94EB0">
        <w:rPr>
          <w:rFonts w:cstheme="minorHAnsi"/>
        </w:rPr>
        <w:t xml:space="preserve">Note that the construct of </w:t>
      </w:r>
      <w:r w:rsidR="001904E1" w:rsidRPr="00A94EB0">
        <w:rPr>
          <w:rFonts w:cstheme="minorHAnsi"/>
          <w:i/>
        </w:rPr>
        <w:t>Interest</w:t>
      </w:r>
      <w:r w:rsidR="001904E1" w:rsidRPr="00A94EB0">
        <w:rPr>
          <w:rFonts w:cstheme="minorHAnsi"/>
        </w:rPr>
        <w:t xml:space="preserve"> is </w:t>
      </w:r>
      <w:r w:rsidR="00944594" w:rsidRPr="00A94EB0">
        <w:rPr>
          <w:rFonts w:cstheme="minorHAnsi"/>
        </w:rPr>
        <w:t>a theoretical</w:t>
      </w:r>
      <w:r w:rsidR="00756BBC" w:rsidRPr="00A94EB0">
        <w:rPr>
          <w:rFonts w:cstheme="minorHAnsi"/>
        </w:rPr>
        <w:t xml:space="preserve"> and rather </w:t>
      </w:r>
      <w:r w:rsidR="00944594" w:rsidRPr="00A94EB0">
        <w:rPr>
          <w:rFonts w:cstheme="minorHAnsi"/>
        </w:rPr>
        <w:t>vague concept</w:t>
      </w:r>
      <w:r w:rsidR="001904E1" w:rsidRPr="00A94EB0">
        <w:rPr>
          <w:rFonts w:cstheme="minorHAnsi"/>
        </w:rPr>
        <w:t xml:space="preserve"> </w:t>
      </w:r>
      <w:r w:rsidR="00944594" w:rsidRPr="00A94EB0">
        <w:rPr>
          <w:rFonts w:cstheme="minorHAnsi"/>
        </w:rPr>
        <w:t>–</w:t>
      </w:r>
      <w:r w:rsidR="001904E1" w:rsidRPr="00A94EB0">
        <w:rPr>
          <w:rFonts w:cstheme="minorHAnsi"/>
        </w:rPr>
        <w:t xml:space="preserve"> </w:t>
      </w:r>
      <w:r w:rsidR="00944594" w:rsidRPr="00A94EB0">
        <w:rPr>
          <w:rFonts w:cstheme="minorHAnsi"/>
        </w:rPr>
        <w:t>there is no clear</w:t>
      </w:r>
      <w:r w:rsidR="007A063A" w:rsidRPr="00A94EB0">
        <w:rPr>
          <w:rFonts w:cstheme="minorHAnsi"/>
        </w:rPr>
        <w:t xml:space="preserve"> or obvious way to measure this.</w:t>
      </w:r>
      <w:r w:rsidR="00944594" w:rsidRPr="00A94EB0">
        <w:rPr>
          <w:rFonts w:cstheme="minorHAnsi"/>
        </w:rPr>
        <w:t xml:space="preserve">  So, the creators of this survey defined their own measure of </w:t>
      </w:r>
      <w:r w:rsidR="00944594" w:rsidRPr="00A94EB0">
        <w:rPr>
          <w:rFonts w:cstheme="minorHAnsi"/>
          <w:i/>
        </w:rPr>
        <w:t>Interest</w:t>
      </w:r>
      <w:r w:rsidR="00944594" w:rsidRPr="00A94EB0">
        <w:rPr>
          <w:rFonts w:cstheme="minorHAnsi"/>
        </w:rPr>
        <w:t xml:space="preserve"> using these four questions:</w:t>
      </w:r>
      <w:r w:rsidR="00944594" w:rsidRPr="00A94EB0">
        <w:rPr>
          <w:rFonts w:cstheme="minorHAnsi"/>
        </w:rPr>
        <w:br/>
      </w:r>
      <w:r w:rsidR="001904E1" w:rsidRPr="00A94EB0">
        <w:rPr>
          <w:rFonts w:cstheme="minorHAnsi"/>
        </w:rPr>
        <w:br/>
      </w:r>
      <w:r w:rsidR="001904E1" w:rsidRPr="00A94EB0">
        <w:rPr>
          <w:rFonts w:cstheme="minorHAnsi"/>
          <w:noProof/>
        </w:rPr>
        <w:drawing>
          <wp:inline distT="0" distB="0" distL="0" distR="0" wp14:anchorId="58853BDE" wp14:editId="0A56A52B">
            <wp:extent cx="4091015" cy="80147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5968" cy="820072"/>
                    </a:xfrm>
                    <a:prstGeom prst="rect">
                      <a:avLst/>
                    </a:prstGeom>
                    <a:noFill/>
                    <a:ln>
                      <a:noFill/>
                    </a:ln>
                  </pic:spPr>
                </pic:pic>
              </a:graphicData>
            </a:graphic>
          </wp:inline>
        </w:drawing>
      </w:r>
      <w:r w:rsidRPr="00A94EB0">
        <w:rPr>
          <w:rFonts w:cstheme="minorHAnsi"/>
        </w:rPr>
        <w:br/>
      </w:r>
    </w:p>
    <w:p w:rsidR="009460BC" w:rsidRPr="00A94EB0" w:rsidRDefault="000A520E" w:rsidP="007A063A">
      <w:pPr>
        <w:spacing w:line="240" w:lineRule="auto"/>
        <w:jc w:val="both"/>
        <w:rPr>
          <w:rFonts w:cstheme="minorHAnsi"/>
        </w:rPr>
      </w:pPr>
      <w:r w:rsidRPr="00A94EB0">
        <w:rPr>
          <w:rFonts w:cstheme="minorHAnsi"/>
        </w:rPr>
        <w:t xml:space="preserve">The resulting sub-score for </w:t>
      </w:r>
      <w:r w:rsidRPr="00A94EB0">
        <w:rPr>
          <w:rFonts w:cstheme="minorHAnsi"/>
          <w:i/>
        </w:rPr>
        <w:t>Interest</w:t>
      </w:r>
      <w:r w:rsidRPr="00A94EB0">
        <w:rPr>
          <w:rFonts w:cstheme="minorHAnsi"/>
        </w:rPr>
        <w:t xml:space="preserve"> is their operationalization of this construct. </w:t>
      </w:r>
      <w:r w:rsidR="00944594" w:rsidRPr="00A94EB0">
        <w:rPr>
          <w:rFonts w:cstheme="minorHAnsi"/>
        </w:rPr>
        <w:t xml:space="preserve"> Will the resulting score really measure</w:t>
      </w:r>
      <w:r w:rsidRPr="00A94EB0">
        <w:rPr>
          <w:rFonts w:cstheme="minorHAnsi"/>
        </w:rPr>
        <w:t xml:space="preserve"> </w:t>
      </w:r>
      <w:r w:rsidR="00944594" w:rsidRPr="00A94EB0">
        <w:rPr>
          <w:rFonts w:cstheme="minorHAnsi"/>
          <w:i/>
        </w:rPr>
        <w:t>Interest</w:t>
      </w:r>
      <w:r w:rsidR="00944594" w:rsidRPr="00A94EB0">
        <w:rPr>
          <w:rFonts w:cstheme="minorHAnsi"/>
        </w:rPr>
        <w:t xml:space="preserve">? </w:t>
      </w:r>
      <w:r w:rsidR="00756BBC" w:rsidRPr="00A94EB0">
        <w:rPr>
          <w:rFonts w:cstheme="minorHAnsi"/>
        </w:rPr>
        <w:t xml:space="preserve"> Will the resulting scores for the other constructs</w:t>
      </w:r>
      <w:r w:rsidR="007A063A" w:rsidRPr="00A94EB0">
        <w:rPr>
          <w:rFonts w:cstheme="minorHAnsi"/>
        </w:rPr>
        <w:t xml:space="preserve"> on the SATS</w:t>
      </w:r>
      <w:r w:rsidR="00756BBC" w:rsidRPr="00A94EB0">
        <w:rPr>
          <w:rFonts w:cstheme="minorHAnsi"/>
        </w:rPr>
        <w:t xml:space="preserve"> really measure what the researchers intend? </w:t>
      </w:r>
      <w:r w:rsidR="00944594" w:rsidRPr="00A94EB0">
        <w:rPr>
          <w:rFonts w:cstheme="minorHAnsi"/>
        </w:rPr>
        <w:t xml:space="preserve"> </w:t>
      </w:r>
      <w:r w:rsidR="00756BBC" w:rsidRPr="00A94EB0">
        <w:rPr>
          <w:rFonts w:cstheme="minorHAnsi"/>
        </w:rPr>
        <w:t>These</w:t>
      </w:r>
      <w:r w:rsidRPr="00A94EB0">
        <w:rPr>
          <w:rFonts w:cstheme="minorHAnsi"/>
        </w:rPr>
        <w:t xml:space="preserve"> </w:t>
      </w:r>
      <w:r w:rsidR="00756BBC" w:rsidRPr="00A94EB0">
        <w:rPr>
          <w:rFonts w:cstheme="minorHAnsi"/>
        </w:rPr>
        <w:t>are</w:t>
      </w:r>
      <w:r w:rsidRPr="00A94EB0">
        <w:rPr>
          <w:rFonts w:cstheme="minorHAnsi"/>
        </w:rPr>
        <w:t xml:space="preserve"> the question</w:t>
      </w:r>
      <w:r w:rsidR="00756BBC" w:rsidRPr="00A94EB0">
        <w:rPr>
          <w:rFonts w:cstheme="minorHAnsi"/>
        </w:rPr>
        <w:t>s</w:t>
      </w:r>
      <w:r w:rsidRPr="00A94EB0">
        <w:rPr>
          <w:rFonts w:cstheme="minorHAnsi"/>
        </w:rPr>
        <w:t xml:space="preserve"> we seek to answer when establishing the </w:t>
      </w:r>
      <w:r w:rsidR="007C58AC" w:rsidRPr="00A94EB0">
        <w:rPr>
          <w:rFonts w:cstheme="minorHAnsi"/>
          <w:b/>
        </w:rPr>
        <w:t xml:space="preserve">construct </w:t>
      </w:r>
      <w:r w:rsidRPr="00A94EB0">
        <w:rPr>
          <w:rFonts w:cstheme="minorHAnsi"/>
          <w:b/>
        </w:rPr>
        <w:t>validity</w:t>
      </w:r>
      <w:r w:rsidRPr="00A94EB0">
        <w:rPr>
          <w:rFonts w:cstheme="minorHAnsi"/>
        </w:rPr>
        <w:t xml:space="preserve"> of this survey.</w:t>
      </w:r>
    </w:p>
    <w:p w:rsidR="004D3EE6" w:rsidRPr="00A94EB0" w:rsidRDefault="00ED2BB0" w:rsidP="007A063A">
      <w:pPr>
        <w:spacing w:line="240" w:lineRule="auto"/>
        <w:jc w:val="both"/>
        <w:rPr>
          <w:rFonts w:cstheme="minorHAnsi"/>
        </w:rPr>
      </w:pPr>
      <w:r w:rsidRPr="00A94EB0">
        <w:rPr>
          <w:rFonts w:cstheme="minorHAnsi"/>
        </w:rPr>
        <w:t xml:space="preserve">In the </w:t>
      </w:r>
      <w:r w:rsidR="00676073" w:rsidRPr="00A94EB0">
        <w:rPr>
          <w:rFonts w:cstheme="minorHAnsi"/>
        </w:rPr>
        <w:t>remainder of this handout</w:t>
      </w:r>
      <w:r w:rsidRPr="00A94EB0">
        <w:rPr>
          <w:rFonts w:cstheme="minorHAnsi"/>
        </w:rPr>
        <w:t>, we will introduce v</w:t>
      </w:r>
      <w:r w:rsidR="00E87FAD" w:rsidRPr="00A94EB0">
        <w:rPr>
          <w:rFonts w:cstheme="minorHAnsi"/>
        </w:rPr>
        <w:t xml:space="preserve">arious types of </w:t>
      </w:r>
      <w:r w:rsidR="007C58AC" w:rsidRPr="00A94EB0">
        <w:rPr>
          <w:rFonts w:cstheme="minorHAnsi"/>
        </w:rPr>
        <w:t xml:space="preserve">construct </w:t>
      </w:r>
      <w:r w:rsidR="000A520E" w:rsidRPr="00A94EB0">
        <w:rPr>
          <w:rFonts w:cstheme="minorHAnsi"/>
        </w:rPr>
        <w:t>validity</w:t>
      </w:r>
      <w:r w:rsidR="00E87FAD" w:rsidRPr="00A94EB0">
        <w:rPr>
          <w:rFonts w:cstheme="minorHAnsi"/>
        </w:rPr>
        <w:t xml:space="preserve"> </w:t>
      </w:r>
      <w:r w:rsidRPr="00A94EB0">
        <w:rPr>
          <w:rFonts w:cstheme="minorHAnsi"/>
        </w:rPr>
        <w:t>and</w:t>
      </w:r>
      <w:r w:rsidR="00676073" w:rsidRPr="00A94EB0">
        <w:rPr>
          <w:rFonts w:cstheme="minorHAnsi"/>
        </w:rPr>
        <w:t xml:space="preserve"> </w:t>
      </w:r>
      <w:r w:rsidR="007A063A" w:rsidRPr="00A94EB0">
        <w:rPr>
          <w:rFonts w:cstheme="minorHAnsi"/>
        </w:rPr>
        <w:t xml:space="preserve">briefly </w:t>
      </w:r>
      <w:r w:rsidR="00676073" w:rsidRPr="00A94EB0">
        <w:rPr>
          <w:rFonts w:cstheme="minorHAnsi"/>
        </w:rPr>
        <w:t>discuss</w:t>
      </w:r>
      <w:r w:rsidRPr="00A94EB0">
        <w:rPr>
          <w:rFonts w:cstheme="minorHAnsi"/>
        </w:rPr>
        <w:t xml:space="preserve"> how </w:t>
      </w:r>
      <w:r w:rsidR="000A520E" w:rsidRPr="00A94EB0">
        <w:rPr>
          <w:rFonts w:cstheme="minorHAnsi"/>
        </w:rPr>
        <w:t>survey</w:t>
      </w:r>
      <w:r w:rsidR="0065283E" w:rsidRPr="00A94EB0">
        <w:rPr>
          <w:rFonts w:cstheme="minorHAnsi"/>
        </w:rPr>
        <w:t xml:space="preserve"> instruments </w:t>
      </w:r>
      <w:r w:rsidR="000A520E" w:rsidRPr="00A94EB0">
        <w:rPr>
          <w:rFonts w:cstheme="minorHAnsi"/>
        </w:rPr>
        <w:t>are show</w:t>
      </w:r>
      <w:r w:rsidR="007A063A" w:rsidRPr="00A94EB0">
        <w:rPr>
          <w:rFonts w:cstheme="minorHAnsi"/>
        </w:rPr>
        <w:t>n</w:t>
      </w:r>
      <w:r w:rsidR="000A520E" w:rsidRPr="00A94EB0">
        <w:rPr>
          <w:rFonts w:cstheme="minorHAnsi"/>
        </w:rPr>
        <w:t xml:space="preserve"> to be valid</w:t>
      </w:r>
      <w:r w:rsidRPr="00A94EB0">
        <w:rPr>
          <w:rFonts w:cstheme="minorHAnsi"/>
        </w:rPr>
        <w:t xml:space="preserve">. </w:t>
      </w:r>
      <w:r w:rsidR="00E87FAD" w:rsidRPr="00A94EB0">
        <w:rPr>
          <w:rFonts w:cstheme="minorHAnsi"/>
        </w:rPr>
        <w:t xml:space="preserve">  </w:t>
      </w:r>
    </w:p>
    <w:p w:rsidR="00A94EB0" w:rsidRDefault="00A94EB0">
      <w:pPr>
        <w:rPr>
          <w:rFonts w:cstheme="minorHAnsi"/>
          <w:b/>
          <w:u w:val="single"/>
        </w:rPr>
      </w:pPr>
      <w:r>
        <w:rPr>
          <w:rFonts w:cstheme="minorHAnsi"/>
          <w:b/>
          <w:u w:val="single"/>
        </w:rPr>
        <w:br w:type="page"/>
      </w:r>
    </w:p>
    <w:p w:rsidR="007011F0" w:rsidRPr="00A94EB0" w:rsidRDefault="00E87FAD" w:rsidP="007011F0">
      <w:pPr>
        <w:spacing w:line="240" w:lineRule="auto"/>
        <w:rPr>
          <w:rFonts w:cstheme="minorHAnsi"/>
          <w:b/>
          <w:u w:val="single"/>
        </w:rPr>
      </w:pPr>
      <w:r w:rsidRPr="00A94EB0">
        <w:rPr>
          <w:rFonts w:cstheme="minorHAnsi"/>
          <w:b/>
          <w:u w:val="single"/>
        </w:rPr>
        <w:lastRenderedPageBreak/>
        <w:t xml:space="preserve">TYPES </w:t>
      </w:r>
      <w:r w:rsidR="00756BBC" w:rsidRPr="00A94EB0">
        <w:rPr>
          <w:rFonts w:cstheme="minorHAnsi"/>
          <w:b/>
          <w:u w:val="single"/>
        </w:rPr>
        <w:t>OF</w:t>
      </w:r>
      <w:r w:rsidR="007C58AC" w:rsidRPr="00A94EB0">
        <w:rPr>
          <w:rFonts w:cstheme="minorHAnsi"/>
          <w:b/>
          <w:u w:val="single"/>
        </w:rPr>
        <w:t xml:space="preserve"> CONSTRUCT</w:t>
      </w:r>
      <w:r w:rsidR="00756BBC" w:rsidRPr="00A94EB0">
        <w:rPr>
          <w:rFonts w:cstheme="minorHAnsi"/>
          <w:b/>
          <w:u w:val="single"/>
        </w:rPr>
        <w:t xml:space="preserve"> VALIDITY</w:t>
      </w:r>
    </w:p>
    <w:p w:rsidR="00C65CA8" w:rsidRPr="00A94EB0" w:rsidRDefault="00C65CA8" w:rsidP="00C65CA8">
      <w:pPr>
        <w:spacing w:after="0" w:line="240" w:lineRule="auto"/>
        <w:rPr>
          <w:rFonts w:cstheme="minorHAnsi"/>
        </w:rPr>
      </w:pPr>
      <w:r w:rsidRPr="00A94EB0">
        <w:rPr>
          <w:rFonts w:cstheme="minorHAnsi"/>
        </w:rPr>
        <w:t xml:space="preserve">When designing survey questionnaires, researchers may consider one or more of the following </w:t>
      </w:r>
      <w:r w:rsidR="007C58AC" w:rsidRPr="00A94EB0">
        <w:rPr>
          <w:rFonts w:cstheme="minorHAnsi"/>
        </w:rPr>
        <w:t>types</w:t>
      </w:r>
      <w:r w:rsidRPr="00A94EB0">
        <w:rPr>
          <w:rFonts w:cstheme="minorHAnsi"/>
        </w:rPr>
        <w:t xml:space="preserve"> of </w:t>
      </w:r>
      <w:r w:rsidR="007C58AC" w:rsidRPr="00A94EB0">
        <w:rPr>
          <w:rFonts w:cstheme="minorHAnsi"/>
          <w:b/>
        </w:rPr>
        <w:t>construct validity</w:t>
      </w:r>
      <w:r w:rsidR="007C58AC" w:rsidRPr="00A94EB0">
        <w:rPr>
          <w:rFonts w:cstheme="minorHAnsi"/>
        </w:rPr>
        <w:t>.</w:t>
      </w:r>
      <w:r w:rsidR="007C58AC" w:rsidRPr="00A94EB0">
        <w:rPr>
          <w:rFonts w:cstheme="minorHAnsi"/>
        </w:rPr>
        <w:br/>
      </w:r>
    </w:p>
    <w:tbl>
      <w:tblPr>
        <w:tblStyle w:val="TableGrid"/>
        <w:tblW w:w="0" w:type="auto"/>
        <w:tblInd w:w="108" w:type="dxa"/>
        <w:tblLook w:val="04A0" w:firstRow="1" w:lastRow="0" w:firstColumn="1" w:lastColumn="0" w:noHBand="0" w:noVBand="1"/>
      </w:tblPr>
      <w:tblGrid>
        <w:gridCol w:w="9242"/>
      </w:tblGrid>
      <w:tr w:rsidR="00C65CA8" w:rsidRPr="00A94EB0" w:rsidTr="00CB446B">
        <w:trPr>
          <w:trHeight w:val="413"/>
        </w:trPr>
        <w:tc>
          <w:tcPr>
            <w:tcW w:w="9468" w:type="dxa"/>
            <w:shd w:val="clear" w:color="auto" w:fill="000000" w:themeFill="text1"/>
            <w:vAlign w:val="center"/>
          </w:tcPr>
          <w:p w:rsidR="00C65CA8" w:rsidRPr="00A94EB0" w:rsidRDefault="00C65CA8" w:rsidP="007C58AC">
            <w:pPr>
              <w:contextualSpacing/>
              <w:rPr>
                <w:rFonts w:cstheme="minorHAnsi"/>
              </w:rPr>
            </w:pPr>
            <w:r w:rsidRPr="00A94EB0">
              <w:rPr>
                <w:rFonts w:cstheme="minorHAnsi"/>
              </w:rPr>
              <w:t xml:space="preserve">Types of </w:t>
            </w:r>
            <w:r w:rsidR="007C58AC" w:rsidRPr="00A94EB0">
              <w:rPr>
                <w:rFonts w:cstheme="minorHAnsi"/>
              </w:rPr>
              <w:t>Construct Validity</w:t>
            </w:r>
          </w:p>
        </w:tc>
      </w:tr>
      <w:tr w:rsidR="00C65CA8" w:rsidRPr="00A94EB0" w:rsidTr="00CB446B">
        <w:trPr>
          <w:trHeight w:val="746"/>
        </w:trPr>
        <w:tc>
          <w:tcPr>
            <w:tcW w:w="9468" w:type="dxa"/>
            <w:vAlign w:val="center"/>
          </w:tcPr>
          <w:p w:rsidR="00C65CA8" w:rsidRPr="00A94EB0" w:rsidRDefault="007C58AC" w:rsidP="007A063A">
            <w:pPr>
              <w:contextualSpacing/>
              <w:jc w:val="both"/>
              <w:rPr>
                <w:rFonts w:cstheme="minorHAnsi"/>
              </w:rPr>
            </w:pPr>
            <w:r w:rsidRPr="00A94EB0">
              <w:rPr>
                <w:rFonts w:cstheme="minorHAnsi"/>
                <w:b/>
              </w:rPr>
              <w:t>Face Validity</w:t>
            </w:r>
            <w:r w:rsidR="00C65CA8" w:rsidRPr="00A94EB0">
              <w:rPr>
                <w:rFonts w:cstheme="minorHAnsi"/>
                <w:b/>
              </w:rPr>
              <w:t xml:space="preserve"> </w:t>
            </w:r>
            <w:r w:rsidR="00C65CA8" w:rsidRPr="00A94EB0">
              <w:rPr>
                <w:rFonts w:cstheme="minorHAnsi"/>
              </w:rPr>
              <w:t>–</w:t>
            </w:r>
            <w:r w:rsidR="00C65CA8" w:rsidRPr="00A94EB0">
              <w:rPr>
                <w:rFonts w:cstheme="minorHAnsi"/>
                <w:b/>
              </w:rPr>
              <w:t xml:space="preserve"> </w:t>
            </w:r>
            <w:r w:rsidRPr="00A94EB0">
              <w:rPr>
                <w:rFonts w:cstheme="minorHAnsi"/>
              </w:rPr>
              <w:t xml:space="preserve">An operationalization has face validity when it appears to observers that it truly measures the construct it is intended to measure.  </w:t>
            </w:r>
          </w:p>
        </w:tc>
      </w:tr>
      <w:tr w:rsidR="00C65CA8" w:rsidRPr="00A94EB0" w:rsidTr="00CB446B">
        <w:trPr>
          <w:trHeight w:val="746"/>
        </w:trPr>
        <w:tc>
          <w:tcPr>
            <w:tcW w:w="9468" w:type="dxa"/>
            <w:vAlign w:val="center"/>
          </w:tcPr>
          <w:p w:rsidR="00C65CA8" w:rsidRPr="00A94EB0" w:rsidRDefault="007C58AC" w:rsidP="007A063A">
            <w:pPr>
              <w:contextualSpacing/>
              <w:jc w:val="both"/>
              <w:rPr>
                <w:rFonts w:cstheme="minorHAnsi"/>
              </w:rPr>
            </w:pPr>
            <w:r w:rsidRPr="00A94EB0">
              <w:rPr>
                <w:rFonts w:cstheme="minorHAnsi"/>
                <w:b/>
              </w:rPr>
              <w:t>Content Validity</w:t>
            </w:r>
            <w:r w:rsidR="00C65CA8" w:rsidRPr="00A94EB0">
              <w:rPr>
                <w:rFonts w:cstheme="minorHAnsi"/>
                <w:b/>
              </w:rPr>
              <w:t xml:space="preserve"> </w:t>
            </w:r>
            <w:r w:rsidRPr="00A94EB0">
              <w:rPr>
                <w:rFonts w:cstheme="minorHAnsi"/>
              </w:rPr>
              <w:t xml:space="preserve">– An operationalization has construct validity when it adequately covers the </w:t>
            </w:r>
            <w:r w:rsidR="007C1BE2" w:rsidRPr="00A94EB0">
              <w:rPr>
                <w:rFonts w:cstheme="minorHAnsi"/>
              </w:rPr>
              <w:t>range of meanings included in the construct it is intended to measure.</w:t>
            </w:r>
            <w:r w:rsidR="00C65CA8" w:rsidRPr="00A94EB0">
              <w:rPr>
                <w:rFonts w:cstheme="minorHAnsi"/>
              </w:rPr>
              <w:t xml:space="preserve"> </w:t>
            </w:r>
          </w:p>
        </w:tc>
      </w:tr>
      <w:tr w:rsidR="00C65CA8" w:rsidRPr="00A94EB0" w:rsidTr="009E0173">
        <w:trPr>
          <w:trHeight w:val="4130"/>
        </w:trPr>
        <w:tc>
          <w:tcPr>
            <w:tcW w:w="9468" w:type="dxa"/>
            <w:vAlign w:val="center"/>
          </w:tcPr>
          <w:p w:rsidR="00C65CA8" w:rsidRPr="00A94EB0" w:rsidRDefault="007C1BE2" w:rsidP="007A063A">
            <w:pPr>
              <w:spacing w:before="80" w:after="80"/>
              <w:contextualSpacing/>
              <w:jc w:val="both"/>
              <w:rPr>
                <w:rFonts w:cstheme="minorHAnsi"/>
              </w:rPr>
            </w:pPr>
            <w:r w:rsidRPr="00A94EB0">
              <w:rPr>
                <w:rFonts w:cstheme="minorHAnsi"/>
                <w:b/>
              </w:rPr>
              <w:t>Criterion-Related Validity</w:t>
            </w:r>
            <w:r w:rsidR="000220F5" w:rsidRPr="00A94EB0">
              <w:rPr>
                <w:rFonts w:cstheme="minorHAnsi"/>
                <w:b/>
              </w:rPr>
              <w:t xml:space="preserve"> </w:t>
            </w:r>
            <w:r w:rsidRPr="00A94EB0">
              <w:rPr>
                <w:rFonts w:cstheme="minorHAnsi"/>
              </w:rPr>
              <w:t>–</w:t>
            </w:r>
            <w:r w:rsidR="00C65CA8" w:rsidRPr="00A94EB0">
              <w:rPr>
                <w:rFonts w:cstheme="minorHAnsi"/>
              </w:rPr>
              <w:t xml:space="preserve"> </w:t>
            </w:r>
            <w:r w:rsidRPr="00A94EB0">
              <w:rPr>
                <w:rFonts w:cstheme="minorHAnsi"/>
              </w:rPr>
              <w:t>This is assessed by investigating the relationship between the operationalization and other variables.  The following are all specific types of criterion-related validity:</w:t>
            </w:r>
          </w:p>
          <w:p w:rsidR="007C1BE2" w:rsidRPr="00A94EB0" w:rsidRDefault="007C1BE2" w:rsidP="00490652">
            <w:pPr>
              <w:pStyle w:val="ListParagraph"/>
              <w:numPr>
                <w:ilvl w:val="0"/>
                <w:numId w:val="9"/>
              </w:numPr>
              <w:spacing w:after="80"/>
              <w:ind w:left="522"/>
              <w:contextualSpacing w:val="0"/>
              <w:jc w:val="both"/>
              <w:rPr>
                <w:rFonts w:cstheme="minorHAnsi"/>
              </w:rPr>
            </w:pPr>
            <w:r w:rsidRPr="00A94EB0">
              <w:rPr>
                <w:rFonts w:cstheme="minorHAnsi"/>
                <w:b/>
              </w:rPr>
              <w:t>Predictive Validity</w:t>
            </w:r>
            <w:r w:rsidRPr="00A94EB0">
              <w:rPr>
                <w:rFonts w:cstheme="minorHAnsi"/>
              </w:rPr>
              <w:t xml:space="preserve"> – This is established if </w:t>
            </w:r>
            <w:r w:rsidR="00C70FC4" w:rsidRPr="00A94EB0">
              <w:rPr>
                <w:rFonts w:cstheme="minorHAnsi"/>
              </w:rPr>
              <w:t>the</w:t>
            </w:r>
            <w:r w:rsidRPr="00A94EB0">
              <w:rPr>
                <w:rFonts w:cstheme="minorHAnsi"/>
              </w:rPr>
              <w:t xml:space="preserve"> operationalization is able to predict another variable that it should theoretically be able to predict.</w:t>
            </w:r>
          </w:p>
          <w:p w:rsidR="007C1BE2" w:rsidRPr="00A94EB0" w:rsidRDefault="007C1BE2" w:rsidP="00490652">
            <w:pPr>
              <w:pStyle w:val="ListParagraph"/>
              <w:numPr>
                <w:ilvl w:val="0"/>
                <w:numId w:val="9"/>
              </w:numPr>
              <w:spacing w:after="80"/>
              <w:ind w:left="522"/>
              <w:contextualSpacing w:val="0"/>
              <w:jc w:val="both"/>
              <w:rPr>
                <w:rFonts w:cstheme="minorHAnsi"/>
              </w:rPr>
            </w:pPr>
            <w:r w:rsidRPr="00A94EB0">
              <w:rPr>
                <w:rFonts w:cstheme="minorHAnsi"/>
                <w:b/>
              </w:rPr>
              <w:t>Concurrent Validity</w:t>
            </w:r>
            <w:r w:rsidRPr="00A94EB0">
              <w:rPr>
                <w:rFonts w:cstheme="minorHAnsi"/>
              </w:rPr>
              <w:t xml:space="preserve"> – This is established if </w:t>
            </w:r>
            <w:r w:rsidR="00C70FC4" w:rsidRPr="00A94EB0">
              <w:rPr>
                <w:rFonts w:cstheme="minorHAnsi"/>
              </w:rPr>
              <w:t>the</w:t>
            </w:r>
            <w:r w:rsidRPr="00A94EB0">
              <w:rPr>
                <w:rFonts w:cstheme="minorHAnsi"/>
              </w:rPr>
              <w:t xml:space="preserve"> operationalization is </w:t>
            </w:r>
            <w:r w:rsidR="00C70FC4" w:rsidRPr="00A94EB0">
              <w:rPr>
                <w:rFonts w:cstheme="minorHAnsi"/>
              </w:rPr>
              <w:t>well correlated with other variables measured at the same time to which it should theoretically be related.</w:t>
            </w:r>
          </w:p>
          <w:p w:rsidR="007C1BE2" w:rsidRPr="00A94EB0" w:rsidRDefault="00C70FC4" w:rsidP="00490652">
            <w:pPr>
              <w:pStyle w:val="ListParagraph"/>
              <w:numPr>
                <w:ilvl w:val="0"/>
                <w:numId w:val="9"/>
              </w:numPr>
              <w:spacing w:after="80"/>
              <w:ind w:left="522"/>
              <w:contextualSpacing w:val="0"/>
              <w:jc w:val="both"/>
              <w:rPr>
                <w:rFonts w:cstheme="minorHAnsi"/>
              </w:rPr>
            </w:pPr>
            <w:r w:rsidRPr="00A94EB0">
              <w:rPr>
                <w:rFonts w:cstheme="minorHAnsi"/>
                <w:b/>
              </w:rPr>
              <w:t>Convergent Validity</w:t>
            </w:r>
            <w:r w:rsidRPr="00A94EB0">
              <w:rPr>
                <w:rFonts w:cstheme="minorHAnsi"/>
              </w:rPr>
              <w:t xml:space="preserve"> – This is established if the operationalization is well correlated with other variables to which it</w:t>
            </w:r>
            <w:r w:rsidR="005404E0" w:rsidRPr="00A94EB0">
              <w:rPr>
                <w:rFonts w:cstheme="minorHAnsi"/>
              </w:rPr>
              <w:t xml:space="preserve"> </w:t>
            </w:r>
            <w:r w:rsidR="007A063A" w:rsidRPr="00A94EB0">
              <w:rPr>
                <w:rFonts w:cstheme="minorHAnsi"/>
              </w:rPr>
              <w:t xml:space="preserve">should </w:t>
            </w:r>
            <w:r w:rsidRPr="00A94EB0">
              <w:rPr>
                <w:rFonts w:cstheme="minorHAnsi"/>
              </w:rPr>
              <w:t>theoretically</w:t>
            </w:r>
            <w:r w:rsidR="005404E0" w:rsidRPr="00A94EB0">
              <w:rPr>
                <w:rFonts w:cstheme="minorHAnsi"/>
              </w:rPr>
              <w:t xml:space="preserve"> </w:t>
            </w:r>
            <w:r w:rsidRPr="00A94EB0">
              <w:rPr>
                <w:rFonts w:cstheme="minorHAnsi"/>
              </w:rPr>
              <w:t>be related.</w:t>
            </w:r>
          </w:p>
          <w:p w:rsidR="00C70FC4" w:rsidRPr="00A94EB0" w:rsidRDefault="00C70FC4" w:rsidP="00490652">
            <w:pPr>
              <w:pStyle w:val="ListParagraph"/>
              <w:numPr>
                <w:ilvl w:val="0"/>
                <w:numId w:val="9"/>
              </w:numPr>
              <w:spacing w:after="80"/>
              <w:ind w:left="522"/>
              <w:contextualSpacing w:val="0"/>
              <w:jc w:val="both"/>
              <w:rPr>
                <w:rFonts w:cstheme="minorHAnsi"/>
              </w:rPr>
            </w:pPr>
            <w:r w:rsidRPr="00A94EB0">
              <w:rPr>
                <w:rFonts w:cstheme="minorHAnsi"/>
                <w:b/>
              </w:rPr>
              <w:t xml:space="preserve">Discriminant Validity </w:t>
            </w:r>
            <w:r w:rsidRPr="00A94EB0">
              <w:rPr>
                <w:rFonts w:cstheme="minorHAnsi"/>
              </w:rPr>
              <w:t>– This is established if the operationalization is shown to be dissimilar from other variables that it theoretically should not be related to.</w:t>
            </w:r>
          </w:p>
        </w:tc>
      </w:tr>
    </w:tbl>
    <w:p w:rsidR="007011F0" w:rsidRPr="00A94EB0" w:rsidRDefault="002A284F" w:rsidP="007A063A">
      <w:pPr>
        <w:spacing w:after="0" w:line="240" w:lineRule="auto"/>
        <w:rPr>
          <w:rFonts w:cstheme="minorHAnsi"/>
        </w:rPr>
      </w:pPr>
      <w:r w:rsidRPr="00A94EB0">
        <w:rPr>
          <w:rFonts w:cstheme="minorHAnsi"/>
        </w:rPr>
        <w:t xml:space="preserve">Ways to establish these types of validity </w:t>
      </w:r>
      <w:proofErr w:type="gramStart"/>
      <w:r w:rsidRPr="00A94EB0">
        <w:rPr>
          <w:rFonts w:cstheme="minorHAnsi"/>
        </w:rPr>
        <w:t>are</w:t>
      </w:r>
      <w:r w:rsidR="007011F0" w:rsidRPr="00A94EB0">
        <w:rPr>
          <w:rFonts w:cstheme="minorHAnsi"/>
        </w:rPr>
        <w:t xml:space="preserve"> discussed</w:t>
      </w:r>
      <w:proofErr w:type="gramEnd"/>
      <w:r w:rsidR="007011F0" w:rsidRPr="00A94EB0">
        <w:rPr>
          <w:rFonts w:cstheme="minorHAnsi"/>
        </w:rPr>
        <w:t xml:space="preserve"> in more detail below.</w:t>
      </w:r>
    </w:p>
    <w:p w:rsidR="00A94EB0" w:rsidRDefault="007A063A" w:rsidP="00EE70A2">
      <w:pPr>
        <w:spacing w:after="0" w:line="240" w:lineRule="auto"/>
        <w:rPr>
          <w:rFonts w:cstheme="minorHAnsi"/>
        </w:rPr>
      </w:pPr>
      <w:r w:rsidRPr="00A94EB0">
        <w:rPr>
          <w:rFonts w:cstheme="minorHAnsi"/>
          <w:b/>
          <w:u w:val="single"/>
        </w:rPr>
        <w:br/>
      </w:r>
      <w:r w:rsidR="00057633" w:rsidRPr="00A94EB0">
        <w:rPr>
          <w:rFonts w:cstheme="minorHAnsi"/>
          <w:b/>
          <w:u w:val="single"/>
        </w:rPr>
        <w:t>Face Validity</w:t>
      </w:r>
      <w:r w:rsidRPr="00A94EB0">
        <w:rPr>
          <w:rFonts w:cstheme="minorHAnsi"/>
          <w:b/>
          <w:u w:val="single"/>
        </w:rPr>
        <w:br/>
      </w:r>
    </w:p>
    <w:p w:rsidR="00684B83" w:rsidRPr="00A94EB0" w:rsidRDefault="002A284F" w:rsidP="00EE70A2">
      <w:pPr>
        <w:spacing w:after="0" w:line="240" w:lineRule="auto"/>
        <w:rPr>
          <w:rFonts w:cstheme="minorHAnsi"/>
        </w:rPr>
      </w:pPr>
      <w:bookmarkStart w:id="0" w:name="_GoBack"/>
      <w:bookmarkEnd w:id="0"/>
      <w:r w:rsidRPr="00A94EB0">
        <w:rPr>
          <w:rFonts w:cstheme="minorHAnsi"/>
        </w:rPr>
        <w:t xml:space="preserve">Face Validity </w:t>
      </w:r>
      <w:proofErr w:type="gramStart"/>
      <w:r w:rsidRPr="00A94EB0">
        <w:rPr>
          <w:rFonts w:cstheme="minorHAnsi"/>
        </w:rPr>
        <w:t>can’t</w:t>
      </w:r>
      <w:proofErr w:type="gramEnd"/>
      <w:r w:rsidRPr="00A94EB0">
        <w:rPr>
          <w:rFonts w:cstheme="minorHAnsi"/>
        </w:rPr>
        <w:t xml:space="preserve"> be established with any sort of statistical analysis.  Instead, it’s based on a subjective judgment call (which makes it one of the weaker ways to establish construct validity).  The best approach for establishing face validity is to assemble a panel of experts to report on whether or not they feel </w:t>
      </w:r>
      <w:r w:rsidR="007A063A" w:rsidRPr="00A94EB0">
        <w:rPr>
          <w:rFonts w:cstheme="minorHAnsi"/>
        </w:rPr>
        <w:t>an</w:t>
      </w:r>
      <w:r w:rsidRPr="00A94EB0">
        <w:rPr>
          <w:rFonts w:cstheme="minorHAnsi"/>
        </w:rPr>
        <w:t xml:space="preserve"> operationalization appears to be a good measure of the construct of interest.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1086"/>
        <w:gridCol w:w="3224"/>
      </w:tblGrid>
      <w:tr w:rsidR="00EE70A2" w:rsidRPr="00A94EB0" w:rsidTr="00EE70A2">
        <w:trPr>
          <w:trHeight w:val="1952"/>
        </w:trPr>
        <w:tc>
          <w:tcPr>
            <w:tcW w:w="4926" w:type="dxa"/>
          </w:tcPr>
          <w:p w:rsidR="00591271" w:rsidRPr="00A94EB0" w:rsidRDefault="00591271" w:rsidP="00591271">
            <w:pPr>
              <w:jc w:val="center"/>
              <w:rPr>
                <w:rFonts w:cstheme="minorHAnsi"/>
                <w:b/>
                <w:u w:val="single"/>
              </w:rPr>
            </w:pPr>
            <w:r w:rsidRPr="00A94EB0">
              <w:rPr>
                <w:rFonts w:cstheme="minorHAnsi"/>
                <w:b/>
                <w:u w:val="single"/>
              </w:rPr>
              <w:t>Survey Questions</w:t>
            </w:r>
          </w:p>
          <w:p w:rsidR="00591271" w:rsidRPr="00A94EB0" w:rsidRDefault="00591271" w:rsidP="00591271">
            <w:pPr>
              <w:jc w:val="center"/>
              <w:rPr>
                <w:rFonts w:cstheme="minorHAnsi"/>
                <w:b/>
                <w:u w:val="single"/>
              </w:rPr>
            </w:pPr>
          </w:p>
          <w:p w:rsidR="00591271" w:rsidRPr="00A94EB0" w:rsidRDefault="00591271" w:rsidP="00591271">
            <w:pPr>
              <w:jc w:val="center"/>
              <w:rPr>
                <w:rFonts w:cstheme="minorHAnsi"/>
                <w:b/>
                <w:u w:val="single"/>
              </w:rPr>
            </w:pPr>
            <w:r w:rsidRPr="00A94EB0">
              <w:rPr>
                <w:rFonts w:cstheme="minorHAnsi"/>
                <w:noProof/>
              </w:rPr>
              <w:drawing>
                <wp:inline distT="0" distB="0" distL="0" distR="0" wp14:anchorId="181210C4" wp14:editId="0819E7ED">
                  <wp:extent cx="2990850" cy="5027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9">
                            <a:extLst>
                              <a:ext uri="{28A0092B-C50C-407E-A947-70E740481C1C}">
                                <a14:useLocalDpi xmlns:a14="http://schemas.microsoft.com/office/drawing/2010/main" val="0"/>
                              </a:ext>
                            </a:extLst>
                          </a:blip>
                          <a:srcRect l="932" t="38035" r="22692" b="-3567"/>
                          <a:stretch/>
                        </pic:blipFill>
                        <pic:spPr bwMode="auto">
                          <a:xfrm>
                            <a:off x="0" y="0"/>
                            <a:ext cx="3097358" cy="5206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6" w:type="dxa"/>
          </w:tcPr>
          <w:p w:rsidR="00591271" w:rsidRPr="00A94EB0" w:rsidRDefault="00591271" w:rsidP="00591271">
            <w:pPr>
              <w:jc w:val="center"/>
              <w:rPr>
                <w:rFonts w:cstheme="minorHAnsi"/>
                <w:noProof/>
              </w:rPr>
            </w:pPr>
          </w:p>
          <w:p w:rsidR="00591271" w:rsidRPr="00A94EB0" w:rsidRDefault="00591271" w:rsidP="00591271">
            <w:pPr>
              <w:jc w:val="center"/>
              <w:rPr>
                <w:rFonts w:cstheme="minorHAnsi"/>
                <w:noProof/>
              </w:rPr>
            </w:pPr>
          </w:p>
          <w:p w:rsidR="00591271" w:rsidRPr="00A94EB0" w:rsidRDefault="00591271" w:rsidP="00591271">
            <w:pPr>
              <w:jc w:val="center"/>
              <w:rPr>
                <w:rFonts w:cstheme="minorHAnsi"/>
                <w:noProof/>
              </w:rPr>
            </w:pPr>
            <w:r w:rsidRPr="00A94EB0">
              <w:rPr>
                <w:rFonts w:cstheme="minorHAnsi"/>
                <w:noProof/>
              </w:rPr>
              <mc:AlternateContent>
                <mc:Choice Requires="wps">
                  <w:drawing>
                    <wp:inline distT="0" distB="0" distL="0" distR="0">
                      <wp:extent cx="504825" cy="361950"/>
                      <wp:effectExtent l="0" t="19050" r="47625" b="38100"/>
                      <wp:docPr id="5" name="Right Arrow 5"/>
                      <wp:cNvGraphicFramePr/>
                      <a:graphic xmlns:a="http://schemas.openxmlformats.org/drawingml/2006/main">
                        <a:graphicData uri="http://schemas.microsoft.com/office/word/2010/wordprocessingShape">
                          <wps:wsp>
                            <wps:cNvSpPr/>
                            <wps:spPr>
                              <a:xfrm>
                                <a:off x="0" y="0"/>
                                <a:ext cx="504825" cy="3619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B80BD6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width:39.7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" adj="13857" fillcolor="black [3213]" strokecolor="black [3213]" strokeweight="2pt">
                      <w10:anchorlock/>
                    </v:shape>
                  </w:pict>
                </mc:Fallback>
              </mc:AlternateContent>
            </w:r>
          </w:p>
        </w:tc>
        <w:tc>
          <w:tcPr>
            <w:tcW w:w="3224" w:type="dxa"/>
          </w:tcPr>
          <w:p w:rsidR="00591271" w:rsidRPr="00A94EB0" w:rsidRDefault="00591271" w:rsidP="00EE70A2">
            <w:pPr>
              <w:jc w:val="center"/>
              <w:rPr>
                <w:rFonts w:cstheme="minorHAnsi"/>
                <w:b/>
                <w:u w:val="single"/>
              </w:rPr>
            </w:pPr>
            <w:r w:rsidRPr="00A94EB0">
              <w:rPr>
                <w:rFonts w:cstheme="minorHAnsi"/>
                <w:b/>
                <w:u w:val="single"/>
              </w:rPr>
              <w:t>Concept</w:t>
            </w:r>
            <w:r w:rsidR="00EE70A2" w:rsidRPr="00A94EB0">
              <w:rPr>
                <w:rFonts w:cstheme="minorHAnsi"/>
                <w:b/>
                <w:u w:val="single"/>
              </w:rPr>
              <w:br/>
            </w:r>
            <w:r w:rsidR="00EE70A2" w:rsidRPr="00A94EB0">
              <w:rPr>
                <w:rFonts w:cstheme="minorHAnsi"/>
                <w:noProof/>
              </w:rPr>
              <w:drawing>
                <wp:inline distT="0" distB="0" distL="0" distR="0" wp14:anchorId="6EC4070E" wp14:editId="271A0E95">
                  <wp:extent cx="1514475" cy="11268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26709" cy="1135944"/>
                          </a:xfrm>
                          <a:prstGeom prst="rect">
                            <a:avLst/>
                          </a:prstGeom>
                        </pic:spPr>
                      </pic:pic>
                    </a:graphicData>
                  </a:graphic>
                </wp:inline>
              </w:drawing>
            </w:r>
          </w:p>
        </w:tc>
      </w:tr>
    </w:tbl>
    <w:p w:rsidR="00EE70A2" w:rsidRPr="00A94EB0" w:rsidRDefault="00EE70A2" w:rsidP="007A063A">
      <w:pPr>
        <w:spacing w:after="0" w:line="240" w:lineRule="auto"/>
        <w:rPr>
          <w:rFonts w:cstheme="minorHAnsi"/>
          <w:b/>
          <w:u w:val="single"/>
        </w:rPr>
      </w:pPr>
    </w:p>
    <w:p w:rsidR="00A94EB0" w:rsidRDefault="00A94EB0">
      <w:pPr>
        <w:rPr>
          <w:rFonts w:cstheme="minorHAnsi"/>
          <w:b/>
          <w:u w:val="single"/>
        </w:rPr>
      </w:pPr>
      <w:r>
        <w:rPr>
          <w:rFonts w:cstheme="minorHAnsi"/>
          <w:b/>
          <w:u w:val="single"/>
        </w:rPr>
        <w:br w:type="page"/>
      </w:r>
    </w:p>
    <w:p w:rsidR="007A063A" w:rsidRPr="00A94EB0" w:rsidRDefault="002A284F" w:rsidP="007A063A">
      <w:pPr>
        <w:spacing w:after="0" w:line="240" w:lineRule="auto"/>
        <w:rPr>
          <w:rFonts w:cstheme="minorHAnsi"/>
          <w:b/>
          <w:u w:val="single"/>
        </w:rPr>
      </w:pPr>
      <w:r w:rsidRPr="00A94EB0">
        <w:rPr>
          <w:rFonts w:cstheme="minorHAnsi"/>
          <w:b/>
          <w:u w:val="single"/>
        </w:rPr>
        <w:lastRenderedPageBreak/>
        <w:t>Content Validity</w:t>
      </w:r>
    </w:p>
    <w:p w:rsidR="00A94EB0" w:rsidRDefault="00A94EB0" w:rsidP="007A063A">
      <w:pPr>
        <w:spacing w:after="0" w:line="240" w:lineRule="auto"/>
        <w:jc w:val="both"/>
        <w:rPr>
          <w:rFonts w:cstheme="minorHAnsi"/>
        </w:rPr>
      </w:pPr>
    </w:p>
    <w:p w:rsidR="002A284F" w:rsidRPr="00A94EB0" w:rsidRDefault="002A284F" w:rsidP="007A063A">
      <w:pPr>
        <w:spacing w:after="0" w:line="240" w:lineRule="auto"/>
        <w:jc w:val="both"/>
        <w:rPr>
          <w:rFonts w:cstheme="minorHAnsi"/>
        </w:rPr>
      </w:pPr>
      <w:r w:rsidRPr="00A94EB0">
        <w:rPr>
          <w:rFonts w:cstheme="minorHAnsi"/>
        </w:rPr>
        <w:t xml:space="preserve">Like face validity, this </w:t>
      </w:r>
      <w:proofErr w:type="gramStart"/>
      <w:r w:rsidRPr="00A94EB0">
        <w:rPr>
          <w:rFonts w:cstheme="minorHAnsi"/>
        </w:rPr>
        <w:t>is also best established</w:t>
      </w:r>
      <w:proofErr w:type="gramEnd"/>
      <w:r w:rsidRPr="00A94EB0">
        <w:rPr>
          <w:rFonts w:cstheme="minorHAnsi"/>
        </w:rPr>
        <w:t xml:space="preserve"> by assembling a panel of experts.  The researcher will describe the content domain for their construct (e.g., “My goal is to measure students’ interest in statistics.”)  The experts will then be asked to judge how well the operationalization </w:t>
      </w:r>
      <w:r w:rsidR="009E0173" w:rsidRPr="00A94EB0">
        <w:rPr>
          <w:rFonts w:cstheme="minorHAnsi"/>
        </w:rPr>
        <w:t>covers all of the criteria that constitute the content domain.</w:t>
      </w:r>
    </w:p>
    <w:p w:rsidR="00EE70A2" w:rsidRPr="00A94EB0" w:rsidRDefault="00EE70A2" w:rsidP="009E0173">
      <w:pPr>
        <w:tabs>
          <w:tab w:val="left" w:pos="2813"/>
        </w:tabs>
        <w:spacing w:after="0"/>
        <w:rPr>
          <w:rFonts w:cstheme="minorHAnsi"/>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7"/>
        <w:gridCol w:w="1080"/>
        <w:gridCol w:w="3433"/>
      </w:tblGrid>
      <w:tr w:rsidR="00EE70A2" w:rsidRPr="00A94EB0" w:rsidTr="00EE5A85">
        <w:trPr>
          <w:trHeight w:val="1952"/>
        </w:trPr>
        <w:tc>
          <w:tcPr>
            <w:tcW w:w="4926" w:type="dxa"/>
          </w:tcPr>
          <w:p w:rsidR="00EE70A2" w:rsidRPr="00A94EB0" w:rsidRDefault="00EE70A2" w:rsidP="00EE5A85">
            <w:pPr>
              <w:jc w:val="center"/>
              <w:rPr>
                <w:rFonts w:cstheme="minorHAnsi"/>
                <w:b/>
                <w:u w:val="single"/>
              </w:rPr>
            </w:pPr>
            <w:r w:rsidRPr="00A94EB0">
              <w:rPr>
                <w:rFonts w:cstheme="minorHAnsi"/>
                <w:b/>
                <w:u w:val="single"/>
              </w:rPr>
              <w:t>What does Interest mean (in statistics)?</w:t>
            </w:r>
          </w:p>
          <w:p w:rsidR="00EE70A2" w:rsidRPr="00A94EB0" w:rsidRDefault="00EE70A2" w:rsidP="00EE5A85">
            <w:pPr>
              <w:jc w:val="center"/>
              <w:rPr>
                <w:rFonts w:cstheme="minorHAnsi"/>
                <w:b/>
                <w:u w:val="single"/>
              </w:rPr>
            </w:pPr>
          </w:p>
          <w:p w:rsidR="00EE70A2" w:rsidRPr="00A94EB0" w:rsidRDefault="00EE70A2" w:rsidP="00EE5A85">
            <w:pPr>
              <w:jc w:val="center"/>
              <w:rPr>
                <w:rFonts w:cstheme="minorHAnsi"/>
                <w:b/>
                <w:u w:val="single"/>
              </w:rPr>
            </w:pPr>
            <w:r w:rsidRPr="00A94EB0">
              <w:rPr>
                <w:rFonts w:cstheme="minorHAnsi"/>
                <w:noProof/>
              </w:rPr>
              <w:drawing>
                <wp:inline distT="0" distB="0" distL="0" distR="0" wp14:anchorId="1D608B45" wp14:editId="1BCB89B2">
                  <wp:extent cx="2962275" cy="161437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3409" cy="1620445"/>
                          </a:xfrm>
                          <a:prstGeom prst="rect">
                            <a:avLst/>
                          </a:prstGeom>
                        </pic:spPr>
                      </pic:pic>
                    </a:graphicData>
                  </a:graphic>
                </wp:inline>
              </w:drawing>
            </w:r>
          </w:p>
        </w:tc>
        <w:tc>
          <w:tcPr>
            <w:tcW w:w="1086" w:type="dxa"/>
          </w:tcPr>
          <w:p w:rsidR="00EE70A2" w:rsidRPr="00A94EB0" w:rsidRDefault="00EE70A2" w:rsidP="00EE5A85">
            <w:pPr>
              <w:jc w:val="center"/>
              <w:rPr>
                <w:rFonts w:cstheme="minorHAnsi"/>
                <w:noProof/>
              </w:rPr>
            </w:pPr>
          </w:p>
          <w:p w:rsidR="00EE70A2" w:rsidRPr="00A94EB0" w:rsidRDefault="00EE70A2" w:rsidP="00EE5A85">
            <w:pPr>
              <w:jc w:val="center"/>
              <w:rPr>
                <w:rFonts w:cstheme="minorHAnsi"/>
                <w:noProof/>
              </w:rPr>
            </w:pPr>
          </w:p>
          <w:p w:rsidR="00EE70A2" w:rsidRPr="00A94EB0" w:rsidRDefault="00EE70A2" w:rsidP="00EE5A85">
            <w:pPr>
              <w:jc w:val="center"/>
              <w:rPr>
                <w:rFonts w:cstheme="minorHAnsi"/>
                <w:noProof/>
              </w:rPr>
            </w:pPr>
            <w:r w:rsidRPr="00A94EB0">
              <w:rPr>
                <w:rFonts w:cstheme="minorHAnsi"/>
                <w:noProof/>
              </w:rPr>
              <mc:AlternateContent>
                <mc:Choice Requires="wps">
                  <w:drawing>
                    <wp:inline distT="0" distB="0" distL="0" distR="0" wp14:anchorId="63FCE7F6" wp14:editId="785BBF93">
                      <wp:extent cx="504825" cy="361950"/>
                      <wp:effectExtent l="0" t="19050" r="47625" b="38100"/>
                      <wp:docPr id="8" name="Right Arrow 8"/>
                      <wp:cNvGraphicFramePr/>
                      <a:graphic xmlns:a="http://schemas.openxmlformats.org/drawingml/2006/main">
                        <a:graphicData uri="http://schemas.microsoft.com/office/word/2010/wordprocessingShape">
                          <wps:wsp>
                            <wps:cNvSpPr/>
                            <wps:spPr>
                              <a:xfrm>
                                <a:off x="0" y="0"/>
                                <a:ext cx="504825" cy="3619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8C3B4F" id="Right Arrow 8" o:spid="_x0000_s1026" type="#_x0000_t13" style="width:39.7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" adj="13857" fillcolor="black [3213]" strokecolor="black [3213]" strokeweight="2pt">
                      <w10:anchorlock/>
                    </v:shape>
                  </w:pict>
                </mc:Fallback>
              </mc:AlternateContent>
            </w:r>
          </w:p>
        </w:tc>
        <w:tc>
          <w:tcPr>
            <w:tcW w:w="3224" w:type="dxa"/>
          </w:tcPr>
          <w:p w:rsidR="00EE70A2" w:rsidRPr="00A94EB0" w:rsidRDefault="00EE70A2" w:rsidP="00EE70A2">
            <w:pPr>
              <w:jc w:val="center"/>
              <w:rPr>
                <w:rFonts w:cstheme="minorHAnsi"/>
                <w:b/>
                <w:u w:val="single"/>
              </w:rPr>
            </w:pPr>
            <w:r w:rsidRPr="00A94EB0">
              <w:rPr>
                <w:rFonts w:cstheme="minorHAnsi"/>
                <w:b/>
                <w:u w:val="single"/>
              </w:rPr>
              <w:t>Covers aspects of Interest</w:t>
            </w:r>
            <w:r w:rsidRPr="00A94EB0">
              <w:rPr>
                <w:rFonts w:cstheme="minorHAnsi"/>
                <w:b/>
                <w:u w:val="single"/>
              </w:rPr>
              <w:br/>
            </w:r>
            <w:r w:rsidRPr="00A94EB0">
              <w:rPr>
                <w:rFonts w:cstheme="minorHAnsi"/>
                <w:noProof/>
              </w:rPr>
              <w:drawing>
                <wp:inline distT="0" distB="0" distL="0" distR="0" wp14:anchorId="4C6F4880" wp14:editId="1A1E2047">
                  <wp:extent cx="2057400" cy="16025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73843" cy="1615325"/>
                          </a:xfrm>
                          <a:prstGeom prst="rect">
                            <a:avLst/>
                          </a:prstGeom>
                        </pic:spPr>
                      </pic:pic>
                    </a:graphicData>
                  </a:graphic>
                </wp:inline>
              </w:drawing>
            </w:r>
          </w:p>
        </w:tc>
      </w:tr>
    </w:tbl>
    <w:p w:rsidR="00EE70A2" w:rsidRPr="00A94EB0" w:rsidRDefault="00EE70A2" w:rsidP="009E0173">
      <w:pPr>
        <w:tabs>
          <w:tab w:val="left" w:pos="2813"/>
        </w:tabs>
        <w:spacing w:after="0"/>
        <w:rPr>
          <w:rFonts w:cstheme="minorHAnsi"/>
          <w:b/>
          <w:u w:val="single"/>
        </w:rPr>
      </w:pPr>
    </w:p>
    <w:p w:rsidR="00EE70A2" w:rsidRPr="00A94EB0" w:rsidRDefault="00EE70A2" w:rsidP="009E0173">
      <w:pPr>
        <w:tabs>
          <w:tab w:val="left" w:pos="2813"/>
        </w:tabs>
        <w:spacing w:after="0"/>
        <w:rPr>
          <w:rFonts w:cstheme="minorHAnsi"/>
          <w:b/>
          <w:u w:val="single"/>
        </w:rPr>
      </w:pPr>
    </w:p>
    <w:p w:rsidR="009E0173" w:rsidRPr="00A94EB0" w:rsidRDefault="009E0173" w:rsidP="009E0173">
      <w:pPr>
        <w:tabs>
          <w:tab w:val="left" w:pos="2813"/>
        </w:tabs>
        <w:spacing w:after="0"/>
        <w:rPr>
          <w:rFonts w:cstheme="minorHAnsi"/>
          <w:b/>
          <w:u w:val="single"/>
        </w:rPr>
      </w:pPr>
      <w:r w:rsidRPr="00A94EB0">
        <w:rPr>
          <w:rFonts w:cstheme="minorHAnsi"/>
          <w:b/>
          <w:u w:val="single"/>
        </w:rPr>
        <w:t>Predictive Validity</w:t>
      </w:r>
    </w:p>
    <w:p w:rsidR="009E0173" w:rsidRPr="00A94EB0" w:rsidRDefault="009E0173" w:rsidP="007A063A">
      <w:pPr>
        <w:tabs>
          <w:tab w:val="left" w:pos="2813"/>
        </w:tabs>
        <w:spacing w:after="0" w:line="240" w:lineRule="auto"/>
        <w:rPr>
          <w:rFonts w:cstheme="minorHAnsi"/>
        </w:rPr>
      </w:pPr>
      <w:r w:rsidRPr="00A94EB0">
        <w:rPr>
          <w:rFonts w:cstheme="minorHAnsi"/>
          <w:b/>
          <w:u w:val="single"/>
        </w:rPr>
        <w:br/>
      </w:r>
      <w:r w:rsidR="007A063A" w:rsidRPr="00A94EB0">
        <w:rPr>
          <w:rFonts w:cstheme="minorHAnsi"/>
        </w:rPr>
        <w:t>As mentioned above</w:t>
      </w:r>
      <w:r w:rsidRPr="00A94EB0">
        <w:rPr>
          <w:rFonts w:cstheme="minorHAnsi"/>
        </w:rPr>
        <w:t>, this involves assessing the ability of the operationalization to predict something it should theoretically be able to predict.</w:t>
      </w:r>
      <w:r w:rsidR="009B0D40" w:rsidRPr="00A94EB0">
        <w:rPr>
          <w:rFonts w:cstheme="minorHAnsi"/>
        </w:rPr>
        <w:t xml:space="preserve">  Typically, this involves the computation of correlation coefficients.</w:t>
      </w:r>
      <w:r w:rsidRPr="00A94EB0">
        <w:rPr>
          <w:rFonts w:cstheme="minorHAnsi"/>
        </w:rPr>
        <w:t xml:space="preserve">  </w:t>
      </w:r>
      <w:r w:rsidR="009B0D40" w:rsidRPr="00A94EB0">
        <w:rPr>
          <w:rFonts w:cstheme="minorHAnsi"/>
        </w:rPr>
        <w:t>For example, the abstract below describes a study conducted to assess the predictive validity of the Medical College Admissions Test (MCAT).</w:t>
      </w:r>
      <w:r w:rsidR="009B0D40" w:rsidRPr="00A94EB0">
        <w:rPr>
          <w:rFonts w:cstheme="minorHAnsi"/>
        </w:rPr>
        <w:br/>
      </w:r>
      <w:r w:rsidR="009B0D40" w:rsidRPr="00A94EB0">
        <w:rPr>
          <w:rFonts w:cstheme="minorHAnsi"/>
        </w:rPr>
        <w:br/>
      </w:r>
      <w:r w:rsidR="009B0D40" w:rsidRPr="00A94EB0">
        <w:rPr>
          <w:rFonts w:cstheme="minorHAnsi"/>
          <w:noProof/>
        </w:rPr>
        <w:drawing>
          <wp:inline distT="0" distB="0" distL="0" distR="0" wp14:anchorId="157E4FD9" wp14:editId="755B22D0">
            <wp:extent cx="5879106" cy="2163209"/>
            <wp:effectExtent l="19050" t="19050" r="2667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92341" cy="2168079"/>
                    </a:xfrm>
                    <a:prstGeom prst="rect">
                      <a:avLst/>
                    </a:prstGeom>
                    <a:ln>
                      <a:solidFill>
                        <a:schemeClr val="tx1"/>
                      </a:solidFill>
                    </a:ln>
                  </pic:spPr>
                </pic:pic>
              </a:graphicData>
            </a:graphic>
          </wp:inline>
        </w:drawing>
      </w:r>
    </w:p>
    <w:p w:rsidR="009E0173" w:rsidRPr="00A94EB0" w:rsidRDefault="009E0173" w:rsidP="009E0173">
      <w:pPr>
        <w:tabs>
          <w:tab w:val="left" w:pos="2813"/>
        </w:tabs>
        <w:spacing w:after="0" w:line="240" w:lineRule="auto"/>
        <w:rPr>
          <w:rFonts w:cstheme="minorHAnsi"/>
        </w:rPr>
      </w:pPr>
    </w:p>
    <w:p w:rsidR="00EE70A2" w:rsidRPr="00A94EB0" w:rsidRDefault="00EE70A2">
      <w:pPr>
        <w:rPr>
          <w:rFonts w:cstheme="minorHAnsi"/>
          <w:b/>
          <w:u w:val="single"/>
        </w:rPr>
      </w:pPr>
      <w:r w:rsidRPr="00A94EB0">
        <w:rPr>
          <w:rFonts w:cstheme="minorHAnsi"/>
          <w:b/>
          <w:u w:val="single"/>
        </w:rPr>
        <w:br w:type="page"/>
      </w:r>
    </w:p>
    <w:p w:rsidR="009B0D40" w:rsidRPr="00A94EB0" w:rsidRDefault="009B0D40" w:rsidP="009B0D40">
      <w:pPr>
        <w:tabs>
          <w:tab w:val="left" w:pos="2813"/>
        </w:tabs>
        <w:spacing w:after="0"/>
        <w:rPr>
          <w:rFonts w:cstheme="minorHAnsi"/>
          <w:b/>
          <w:u w:val="single"/>
        </w:rPr>
      </w:pPr>
      <w:r w:rsidRPr="00A94EB0">
        <w:rPr>
          <w:rFonts w:cstheme="minorHAnsi"/>
          <w:b/>
          <w:u w:val="single"/>
        </w:rPr>
        <w:lastRenderedPageBreak/>
        <w:t>Concurrent Validity</w:t>
      </w:r>
    </w:p>
    <w:p w:rsidR="009B0D40" w:rsidRPr="00A94EB0" w:rsidRDefault="009B0D40" w:rsidP="007A063A">
      <w:pPr>
        <w:tabs>
          <w:tab w:val="left" w:pos="2813"/>
        </w:tabs>
        <w:spacing w:after="0" w:line="240" w:lineRule="auto"/>
        <w:rPr>
          <w:rFonts w:cstheme="minorHAnsi"/>
        </w:rPr>
      </w:pPr>
      <w:r w:rsidRPr="00A94EB0">
        <w:rPr>
          <w:rFonts w:cstheme="minorHAnsi"/>
          <w:b/>
          <w:u w:val="single"/>
        </w:rPr>
        <w:br/>
      </w:r>
      <w:r w:rsidR="007A063A" w:rsidRPr="00A94EB0">
        <w:rPr>
          <w:rFonts w:cstheme="minorHAnsi"/>
        </w:rPr>
        <w:t>This</w:t>
      </w:r>
      <w:r w:rsidRPr="00A94EB0">
        <w:rPr>
          <w:rFonts w:cstheme="minorHAnsi"/>
        </w:rPr>
        <w:t xml:space="preserve"> involves assessing the strength of the relationship between the operationalization of interest and other variables measured </w:t>
      </w:r>
      <w:r w:rsidRPr="00A94EB0">
        <w:rPr>
          <w:rFonts w:cstheme="minorHAnsi"/>
          <w:i/>
        </w:rPr>
        <w:t>at the same time</w:t>
      </w:r>
      <w:r w:rsidRPr="00A94EB0">
        <w:rPr>
          <w:rFonts w:cstheme="minorHAnsi"/>
        </w:rPr>
        <w:t xml:space="preserve"> to which the operationalization should theoretically be related.  Once again, this typically this involves the computation of correlation coefficients.  For example, consider the following abstract</w:t>
      </w:r>
      <w:r w:rsidR="00786FF9" w:rsidRPr="00A94EB0">
        <w:rPr>
          <w:rFonts w:cstheme="minorHAnsi"/>
        </w:rPr>
        <w:t>.</w:t>
      </w:r>
      <w:r w:rsidRPr="00A94EB0">
        <w:rPr>
          <w:rFonts w:cstheme="minorHAnsi"/>
        </w:rPr>
        <w:br/>
      </w:r>
    </w:p>
    <w:p w:rsidR="009E0173" w:rsidRPr="00A94EB0" w:rsidRDefault="009B0D40" w:rsidP="009E0173">
      <w:pPr>
        <w:tabs>
          <w:tab w:val="left" w:pos="2813"/>
        </w:tabs>
        <w:spacing w:after="0" w:line="240" w:lineRule="auto"/>
        <w:rPr>
          <w:rFonts w:cstheme="minorHAnsi"/>
        </w:rPr>
      </w:pPr>
      <w:r w:rsidRPr="00A94EB0">
        <w:rPr>
          <w:rFonts w:cstheme="minorHAnsi"/>
          <w:noProof/>
        </w:rPr>
        <w:drawing>
          <wp:inline distT="0" distB="0" distL="0" distR="0" wp14:anchorId="7117141D" wp14:editId="4B94CFFB">
            <wp:extent cx="5883510" cy="2856267"/>
            <wp:effectExtent l="19050" t="19050" r="22225" b="203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0824" cy="2859818"/>
                    </a:xfrm>
                    <a:prstGeom prst="rect">
                      <a:avLst/>
                    </a:prstGeom>
                    <a:ln>
                      <a:solidFill>
                        <a:schemeClr val="tx1"/>
                      </a:solidFill>
                    </a:ln>
                  </pic:spPr>
                </pic:pic>
              </a:graphicData>
            </a:graphic>
          </wp:inline>
        </w:drawing>
      </w:r>
    </w:p>
    <w:p w:rsidR="00EE70A2" w:rsidRPr="00A94EB0" w:rsidRDefault="00EE70A2" w:rsidP="007A063A">
      <w:pPr>
        <w:tabs>
          <w:tab w:val="left" w:pos="2813"/>
        </w:tabs>
        <w:spacing w:after="0" w:line="240" w:lineRule="auto"/>
        <w:rPr>
          <w:rFonts w:cstheme="minorHAnsi"/>
          <w:b/>
          <w:u w:val="single"/>
        </w:rPr>
      </w:pPr>
    </w:p>
    <w:p w:rsidR="00460985" w:rsidRPr="00A94EB0" w:rsidRDefault="00460985" w:rsidP="007A063A">
      <w:pPr>
        <w:tabs>
          <w:tab w:val="left" w:pos="2813"/>
        </w:tabs>
        <w:spacing w:after="0" w:line="240" w:lineRule="auto"/>
        <w:rPr>
          <w:rFonts w:cstheme="minorHAnsi"/>
          <w:b/>
          <w:u w:val="single"/>
        </w:rPr>
      </w:pPr>
      <w:r w:rsidRPr="00A94EB0">
        <w:rPr>
          <w:rFonts w:cstheme="minorHAnsi"/>
          <w:b/>
          <w:u w:val="single"/>
        </w:rPr>
        <w:t xml:space="preserve">Convergent </w:t>
      </w:r>
      <w:r w:rsidR="005404E0" w:rsidRPr="00A94EB0">
        <w:rPr>
          <w:rFonts w:cstheme="minorHAnsi"/>
          <w:b/>
          <w:u w:val="single"/>
        </w:rPr>
        <w:t xml:space="preserve">and Divergent </w:t>
      </w:r>
      <w:r w:rsidRPr="00A94EB0">
        <w:rPr>
          <w:rFonts w:cstheme="minorHAnsi"/>
          <w:b/>
          <w:u w:val="single"/>
        </w:rPr>
        <w:t>Validity</w:t>
      </w:r>
    </w:p>
    <w:p w:rsidR="005404E0" w:rsidRPr="00A94EB0" w:rsidRDefault="005404E0" w:rsidP="007A063A">
      <w:pPr>
        <w:spacing w:after="0" w:line="240" w:lineRule="auto"/>
        <w:rPr>
          <w:rFonts w:cstheme="minorHAnsi"/>
        </w:rPr>
      </w:pPr>
    </w:p>
    <w:p w:rsidR="005404E0" w:rsidRPr="00A94EB0" w:rsidRDefault="005404E0" w:rsidP="007A063A">
      <w:pPr>
        <w:spacing w:after="0" w:line="240" w:lineRule="auto"/>
        <w:jc w:val="both"/>
        <w:rPr>
          <w:rFonts w:cstheme="minorHAnsi"/>
        </w:rPr>
      </w:pPr>
      <w:r w:rsidRPr="00A94EB0">
        <w:rPr>
          <w:rFonts w:cstheme="minorHAnsi"/>
        </w:rPr>
        <w:t xml:space="preserve">As stated above, we establish </w:t>
      </w:r>
      <w:r w:rsidRPr="00A94EB0">
        <w:rPr>
          <w:rFonts w:cstheme="minorHAnsi"/>
          <w:b/>
        </w:rPr>
        <w:t>convergent</w:t>
      </w:r>
      <w:r w:rsidRPr="00A94EB0">
        <w:rPr>
          <w:rFonts w:cstheme="minorHAnsi"/>
        </w:rPr>
        <w:t xml:space="preserve"> validity if the operationalization of interest is well correlated with other variables to which it theoretically should be related; alternatively, we establish </w:t>
      </w:r>
      <w:r w:rsidRPr="00A94EB0">
        <w:rPr>
          <w:rFonts w:cstheme="minorHAnsi"/>
          <w:b/>
        </w:rPr>
        <w:t>divergent</w:t>
      </w:r>
      <w:r w:rsidRPr="00A94EB0">
        <w:rPr>
          <w:rFonts w:cstheme="minorHAnsi"/>
        </w:rPr>
        <w:t xml:space="preserve"> validity if the operationalization of interest is </w:t>
      </w:r>
      <w:r w:rsidRPr="00A94EB0">
        <w:rPr>
          <w:rFonts w:cstheme="minorHAnsi"/>
          <w:i/>
        </w:rPr>
        <w:t>not</w:t>
      </w:r>
      <w:r w:rsidRPr="00A94EB0">
        <w:rPr>
          <w:rFonts w:cstheme="minorHAnsi"/>
        </w:rPr>
        <w:t xml:space="preserve"> well correlated with other variables to which it theoretically should not be related.</w:t>
      </w:r>
    </w:p>
    <w:p w:rsidR="004D1392" w:rsidRPr="00A94EB0" w:rsidRDefault="005404E0" w:rsidP="007A063A">
      <w:pPr>
        <w:tabs>
          <w:tab w:val="left" w:pos="2813"/>
        </w:tabs>
        <w:spacing w:after="0" w:line="240" w:lineRule="auto"/>
        <w:jc w:val="both"/>
        <w:rPr>
          <w:rFonts w:cstheme="minorHAnsi"/>
        </w:rPr>
      </w:pPr>
      <w:r w:rsidRPr="00A94EB0">
        <w:rPr>
          <w:rFonts w:cstheme="minorHAnsi"/>
        </w:rPr>
        <w:br/>
        <w:t xml:space="preserve">For example, consider the following excerpt from a paper titled “Surveys Assessing Students’ Attitudes </w:t>
      </w:r>
      <w:proofErr w:type="gramStart"/>
      <w:r w:rsidRPr="00A94EB0">
        <w:rPr>
          <w:rFonts w:cstheme="minorHAnsi"/>
        </w:rPr>
        <w:t>Toward</w:t>
      </w:r>
      <w:proofErr w:type="gramEnd"/>
      <w:r w:rsidRPr="00A94EB0">
        <w:rPr>
          <w:rFonts w:cstheme="minorHAnsi"/>
        </w:rPr>
        <w:t xml:space="preserve"> Statistics: A Systematic Review of Validity and Reliability” written by Meaghan M. Nolan et al.  This was published in the </w:t>
      </w:r>
      <w:r w:rsidRPr="00A94EB0">
        <w:rPr>
          <w:rFonts w:cstheme="minorHAnsi"/>
          <w:i/>
        </w:rPr>
        <w:t>Statistics Education Research Journal</w:t>
      </w:r>
      <w:r w:rsidRPr="00A94EB0">
        <w:rPr>
          <w:rFonts w:cstheme="minorHAnsi"/>
        </w:rPr>
        <w:t>, 11 (2), pp. 103-123 (November 2012).</w:t>
      </w:r>
    </w:p>
    <w:p w:rsidR="005404E0" w:rsidRPr="00A94EB0" w:rsidRDefault="005404E0" w:rsidP="009E0173">
      <w:pPr>
        <w:tabs>
          <w:tab w:val="left" w:pos="2813"/>
        </w:tabs>
        <w:spacing w:after="0" w:line="240" w:lineRule="auto"/>
        <w:rPr>
          <w:rFonts w:cstheme="minorHAnsi"/>
        </w:rPr>
      </w:pPr>
    </w:p>
    <w:p w:rsidR="005404E0" w:rsidRPr="00A94EB0" w:rsidRDefault="00794C36" w:rsidP="009E0173">
      <w:pPr>
        <w:tabs>
          <w:tab w:val="left" w:pos="2813"/>
        </w:tabs>
        <w:spacing w:after="0" w:line="240" w:lineRule="auto"/>
        <w:rPr>
          <w:rFonts w:cstheme="minorHAnsi"/>
        </w:rPr>
      </w:pPr>
      <w:r w:rsidRPr="00A94EB0">
        <w:rPr>
          <w:rFonts w:cstheme="minorHAnsi"/>
          <w:noProof/>
        </w:rPr>
        <w:lastRenderedPageBreak/>
        <w:drawing>
          <wp:inline distT="0" distB="0" distL="0" distR="0">
            <wp:extent cx="5941060" cy="4415155"/>
            <wp:effectExtent l="19050" t="19050" r="21590" b="234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4415155"/>
                    </a:xfrm>
                    <a:prstGeom prst="rect">
                      <a:avLst/>
                    </a:prstGeom>
                    <a:noFill/>
                    <a:ln>
                      <a:solidFill>
                        <a:schemeClr val="tx1"/>
                      </a:solidFill>
                    </a:ln>
                  </pic:spPr>
                </pic:pic>
              </a:graphicData>
            </a:graphic>
          </wp:inline>
        </w:drawing>
      </w:r>
    </w:p>
    <w:p w:rsidR="005404E0" w:rsidRPr="00A94EB0" w:rsidRDefault="005404E0" w:rsidP="009E0173">
      <w:pPr>
        <w:tabs>
          <w:tab w:val="left" w:pos="2813"/>
        </w:tabs>
        <w:spacing w:after="0" w:line="240" w:lineRule="auto"/>
        <w:rPr>
          <w:rFonts w:cstheme="minorHAnsi"/>
        </w:rPr>
      </w:pPr>
    </w:p>
    <w:p w:rsidR="001D0351" w:rsidRPr="00A94EB0" w:rsidRDefault="001D0351" w:rsidP="009B0D40">
      <w:pPr>
        <w:tabs>
          <w:tab w:val="left" w:pos="2813"/>
        </w:tabs>
        <w:spacing w:after="0"/>
        <w:rPr>
          <w:rFonts w:cstheme="minorHAnsi"/>
        </w:rPr>
      </w:pPr>
      <w:r w:rsidRPr="00A94EB0">
        <w:rPr>
          <w:rFonts w:cstheme="minorHAnsi"/>
        </w:rPr>
        <w:t xml:space="preserve">Note that to estimate the degree to which any two measures are related to each other, we typically use the correlation coefficient.  </w:t>
      </w:r>
    </w:p>
    <w:p w:rsidR="007A063A" w:rsidRPr="00A94EB0" w:rsidRDefault="007A063A">
      <w:pPr>
        <w:rPr>
          <w:rFonts w:cstheme="minorHAnsi"/>
          <w:b/>
          <w:u w:val="single"/>
        </w:rPr>
      </w:pPr>
    </w:p>
    <w:p w:rsidR="00EE70A2" w:rsidRPr="00A94EB0" w:rsidRDefault="00EE70A2">
      <w:pPr>
        <w:rPr>
          <w:rFonts w:cstheme="minorHAnsi"/>
          <w:b/>
          <w:u w:val="single"/>
        </w:rPr>
      </w:pPr>
      <w:r w:rsidRPr="00A94EB0">
        <w:rPr>
          <w:rFonts w:cstheme="minorHAnsi"/>
          <w:b/>
          <w:u w:val="single"/>
        </w:rPr>
        <w:br w:type="page"/>
      </w:r>
    </w:p>
    <w:p w:rsidR="00794C36" w:rsidRPr="00A94EB0" w:rsidRDefault="00794C36" w:rsidP="009B0D40">
      <w:pPr>
        <w:tabs>
          <w:tab w:val="left" w:pos="2813"/>
        </w:tabs>
        <w:spacing w:after="0"/>
        <w:rPr>
          <w:rFonts w:cstheme="minorHAnsi"/>
          <w:b/>
          <w:u w:val="single"/>
        </w:rPr>
      </w:pPr>
      <w:r w:rsidRPr="00A94EB0">
        <w:rPr>
          <w:rFonts w:cstheme="minorHAnsi"/>
          <w:b/>
          <w:u w:val="single"/>
        </w:rPr>
        <w:lastRenderedPageBreak/>
        <w:t xml:space="preserve">A MORE MODERN CONCEPT OF </w:t>
      </w:r>
      <w:r w:rsidR="00DD7759" w:rsidRPr="00A94EB0">
        <w:rPr>
          <w:rFonts w:cstheme="minorHAnsi"/>
          <w:b/>
          <w:u w:val="single"/>
        </w:rPr>
        <w:t xml:space="preserve">CONSTRUCT </w:t>
      </w:r>
      <w:r w:rsidRPr="00A94EB0">
        <w:rPr>
          <w:rFonts w:cstheme="minorHAnsi"/>
          <w:b/>
          <w:u w:val="single"/>
        </w:rPr>
        <w:t>VALIDITY</w:t>
      </w:r>
    </w:p>
    <w:p w:rsidR="00794C36" w:rsidRPr="00A94EB0" w:rsidRDefault="00794C36" w:rsidP="009B0D40">
      <w:pPr>
        <w:tabs>
          <w:tab w:val="left" w:pos="2813"/>
        </w:tabs>
        <w:spacing w:after="0"/>
        <w:rPr>
          <w:rFonts w:cstheme="minorHAnsi"/>
          <w:b/>
          <w:u w:val="single"/>
        </w:rPr>
      </w:pPr>
    </w:p>
    <w:p w:rsidR="00794C36" w:rsidRPr="00A94EB0" w:rsidRDefault="00794C36" w:rsidP="00794C36">
      <w:pPr>
        <w:tabs>
          <w:tab w:val="left" w:pos="2813"/>
        </w:tabs>
        <w:spacing w:after="0" w:line="240" w:lineRule="auto"/>
        <w:rPr>
          <w:rFonts w:cstheme="minorHAnsi"/>
        </w:rPr>
      </w:pPr>
      <w:r w:rsidRPr="00A94EB0">
        <w:rPr>
          <w:rFonts w:cstheme="minorHAnsi"/>
        </w:rPr>
        <w:t xml:space="preserve">In the 1990s, Samuel </w:t>
      </w:r>
      <w:proofErr w:type="spellStart"/>
      <w:r w:rsidRPr="00A94EB0">
        <w:rPr>
          <w:rFonts w:cstheme="minorHAnsi"/>
        </w:rPr>
        <w:t>Messick</w:t>
      </w:r>
      <w:proofErr w:type="spellEnd"/>
      <w:r w:rsidRPr="00A94EB0">
        <w:rPr>
          <w:rFonts w:cstheme="minorHAnsi"/>
        </w:rPr>
        <w:t xml:space="preserve"> proposed a new</w:t>
      </w:r>
      <w:r w:rsidR="001D75B9" w:rsidRPr="00A94EB0">
        <w:rPr>
          <w:rFonts w:cstheme="minorHAnsi"/>
        </w:rPr>
        <w:t>, more unified</w:t>
      </w:r>
      <w:r w:rsidRPr="00A94EB0">
        <w:rPr>
          <w:rFonts w:cstheme="minorHAnsi"/>
        </w:rPr>
        <w:t xml:space="preserve"> framework for the concept of validity.</w:t>
      </w:r>
      <w:r w:rsidR="001D75B9" w:rsidRPr="00A94EB0">
        <w:rPr>
          <w:rFonts w:cstheme="minorHAnsi"/>
        </w:rPr>
        <w:t xml:space="preserve">  This framework describes six distinguishable aspects of validity.  He argues that these six aspects should be viewed as interdependent and complementary to one another.</w:t>
      </w:r>
      <w:r w:rsidRPr="00A94EB0">
        <w:rPr>
          <w:rFonts w:cstheme="minorHAnsi"/>
        </w:rPr>
        <w:br/>
      </w:r>
    </w:p>
    <w:tbl>
      <w:tblPr>
        <w:tblStyle w:val="TableGrid"/>
        <w:tblW w:w="0" w:type="auto"/>
        <w:tblInd w:w="108" w:type="dxa"/>
        <w:tblLook w:val="04A0" w:firstRow="1" w:lastRow="0" w:firstColumn="1" w:lastColumn="0" w:noHBand="0" w:noVBand="1"/>
      </w:tblPr>
      <w:tblGrid>
        <w:gridCol w:w="9242"/>
      </w:tblGrid>
      <w:tr w:rsidR="001D75B9" w:rsidRPr="00A94EB0" w:rsidTr="00D753F4">
        <w:trPr>
          <w:trHeight w:val="413"/>
          <w:tblHeader/>
        </w:trPr>
        <w:tc>
          <w:tcPr>
            <w:tcW w:w="9468" w:type="dxa"/>
            <w:shd w:val="clear" w:color="auto" w:fill="000000" w:themeFill="text1"/>
            <w:vAlign w:val="center"/>
          </w:tcPr>
          <w:p w:rsidR="001D75B9" w:rsidRPr="00A94EB0" w:rsidRDefault="001D75B9" w:rsidP="001D75B9">
            <w:pPr>
              <w:contextualSpacing/>
              <w:rPr>
                <w:rFonts w:cstheme="minorHAnsi"/>
              </w:rPr>
            </w:pPr>
            <w:r w:rsidRPr="00A94EB0">
              <w:rPr>
                <w:rFonts w:cstheme="minorHAnsi"/>
              </w:rPr>
              <w:t xml:space="preserve">Modern Concept of </w:t>
            </w:r>
            <w:r w:rsidR="00DD7759" w:rsidRPr="00A94EB0">
              <w:rPr>
                <w:rFonts w:cstheme="minorHAnsi"/>
              </w:rPr>
              <w:t xml:space="preserve">Construct </w:t>
            </w:r>
            <w:r w:rsidRPr="00A94EB0">
              <w:rPr>
                <w:rFonts w:cstheme="minorHAnsi"/>
              </w:rPr>
              <w:t>Validity</w:t>
            </w:r>
          </w:p>
        </w:tc>
      </w:tr>
      <w:tr w:rsidR="001D75B9" w:rsidRPr="00A94EB0" w:rsidTr="008F46A4">
        <w:trPr>
          <w:trHeight w:val="1565"/>
        </w:trPr>
        <w:tc>
          <w:tcPr>
            <w:tcW w:w="9468" w:type="dxa"/>
            <w:vAlign w:val="center"/>
          </w:tcPr>
          <w:p w:rsidR="001D75B9" w:rsidRPr="00A94EB0" w:rsidRDefault="001D75B9" w:rsidP="0090125A">
            <w:pPr>
              <w:contextualSpacing/>
              <w:jc w:val="both"/>
              <w:rPr>
                <w:rFonts w:cstheme="minorHAnsi"/>
              </w:rPr>
            </w:pPr>
            <w:r w:rsidRPr="00A94EB0">
              <w:rPr>
                <w:rFonts w:cstheme="minorHAnsi"/>
                <w:b/>
              </w:rPr>
              <w:t xml:space="preserve">Content Validity </w:t>
            </w:r>
            <w:r w:rsidRPr="00A94EB0">
              <w:rPr>
                <w:rFonts w:cstheme="minorHAnsi"/>
              </w:rPr>
              <w:t xml:space="preserve">– An operationalization has </w:t>
            </w:r>
            <w:r w:rsidR="0090125A" w:rsidRPr="00A94EB0">
              <w:rPr>
                <w:rFonts w:cstheme="minorHAnsi"/>
              </w:rPr>
              <w:t>content</w:t>
            </w:r>
            <w:r w:rsidRPr="00A94EB0">
              <w:rPr>
                <w:rFonts w:cstheme="minorHAnsi"/>
              </w:rPr>
              <w:t xml:space="preserve"> validity when it adequately covers the range of meanings included in the construct it is intended to measure (i.e., it is representative of the construct).  When assessing this, one should also consider the </w:t>
            </w:r>
            <w:r w:rsidR="00C974AB" w:rsidRPr="00A94EB0">
              <w:rPr>
                <w:rFonts w:cstheme="minorHAnsi"/>
              </w:rPr>
              <w:t>content relevance of each item and its technical quality.</w:t>
            </w:r>
            <w:r w:rsidRPr="00A94EB0">
              <w:rPr>
                <w:rFonts w:cstheme="minorHAnsi"/>
              </w:rPr>
              <w:t xml:space="preserve"> </w:t>
            </w:r>
          </w:p>
        </w:tc>
      </w:tr>
      <w:tr w:rsidR="001D75B9" w:rsidRPr="00A94EB0" w:rsidTr="008F46A4">
        <w:trPr>
          <w:trHeight w:val="3140"/>
        </w:trPr>
        <w:tc>
          <w:tcPr>
            <w:tcW w:w="9468" w:type="dxa"/>
            <w:vAlign w:val="center"/>
          </w:tcPr>
          <w:p w:rsidR="001D75B9" w:rsidRPr="00A94EB0" w:rsidRDefault="00C974AB" w:rsidP="00326378">
            <w:pPr>
              <w:contextualSpacing/>
              <w:rPr>
                <w:rFonts w:cstheme="minorHAnsi"/>
              </w:rPr>
            </w:pPr>
            <w:r w:rsidRPr="00A94EB0">
              <w:rPr>
                <w:rFonts w:cstheme="minorHAnsi"/>
                <w:b/>
              </w:rPr>
              <w:t xml:space="preserve">Substantive Validity </w:t>
            </w:r>
            <w:r w:rsidRPr="00A94EB0">
              <w:rPr>
                <w:rFonts w:cstheme="minorHAnsi"/>
              </w:rPr>
              <w:t xml:space="preserve">– This considers the strength of the theoretical </w:t>
            </w:r>
            <w:r w:rsidR="0021609C" w:rsidRPr="00A94EB0">
              <w:rPr>
                <w:rFonts w:cstheme="minorHAnsi"/>
              </w:rPr>
              <w:t>rationales</w:t>
            </w:r>
            <w:r w:rsidRPr="00A94EB0">
              <w:rPr>
                <w:rFonts w:cstheme="minorHAnsi"/>
              </w:rPr>
              <w:t xml:space="preserve"> for interpreting </w:t>
            </w:r>
            <w:r w:rsidR="00326378" w:rsidRPr="00A94EB0">
              <w:rPr>
                <w:rFonts w:cstheme="minorHAnsi"/>
              </w:rPr>
              <w:t>the</w:t>
            </w:r>
            <w:r w:rsidRPr="00A94EB0">
              <w:rPr>
                <w:rFonts w:cstheme="minorHAnsi"/>
              </w:rPr>
              <w:t xml:space="preserve"> survey scores.  </w:t>
            </w:r>
            <w:r w:rsidR="0021609C" w:rsidRPr="00A94EB0">
              <w:rPr>
                <w:rFonts w:cstheme="minorHAnsi"/>
              </w:rPr>
              <w:t>For example, consider the following excerpt from the aforementioned paper by Nolan et al.</w:t>
            </w:r>
            <w:r w:rsidR="008F46A4" w:rsidRPr="00A94EB0">
              <w:rPr>
                <w:rFonts w:cstheme="minorHAnsi"/>
              </w:rPr>
              <w:br/>
            </w:r>
            <w:r w:rsidR="0021609C" w:rsidRPr="00A94EB0">
              <w:rPr>
                <w:rFonts w:cstheme="minorHAnsi"/>
              </w:rPr>
              <w:br/>
            </w:r>
            <w:r w:rsidR="0021609C" w:rsidRPr="00A94EB0">
              <w:rPr>
                <w:rFonts w:cstheme="minorHAnsi"/>
                <w:noProof/>
              </w:rPr>
              <w:drawing>
                <wp:inline distT="0" distB="0" distL="0" distR="0" wp14:anchorId="59F6DF37" wp14:editId="6EDE211C">
                  <wp:extent cx="5943600" cy="9931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993140"/>
                          </a:xfrm>
                          <a:prstGeom prst="rect">
                            <a:avLst/>
                          </a:prstGeom>
                        </pic:spPr>
                      </pic:pic>
                    </a:graphicData>
                  </a:graphic>
                </wp:inline>
              </w:drawing>
            </w:r>
          </w:p>
        </w:tc>
      </w:tr>
      <w:tr w:rsidR="001D75B9" w:rsidRPr="00A94EB0" w:rsidTr="008F46A4">
        <w:trPr>
          <w:trHeight w:val="4760"/>
        </w:trPr>
        <w:tc>
          <w:tcPr>
            <w:tcW w:w="9468" w:type="dxa"/>
            <w:vAlign w:val="center"/>
          </w:tcPr>
          <w:p w:rsidR="001D75B9" w:rsidRPr="00A94EB0" w:rsidRDefault="0021609C" w:rsidP="00326378">
            <w:pPr>
              <w:contextualSpacing/>
              <w:rPr>
                <w:rFonts w:cstheme="minorHAnsi"/>
              </w:rPr>
            </w:pPr>
            <w:r w:rsidRPr="00A94EB0">
              <w:rPr>
                <w:rFonts w:cstheme="minorHAnsi"/>
                <w:b/>
              </w:rPr>
              <w:t>Structural</w:t>
            </w:r>
            <w:r w:rsidR="001D75B9" w:rsidRPr="00A94EB0">
              <w:rPr>
                <w:rFonts w:cstheme="minorHAnsi"/>
                <w:b/>
              </w:rPr>
              <w:t xml:space="preserve"> Validity </w:t>
            </w:r>
            <w:r w:rsidR="001D75B9" w:rsidRPr="00A94EB0">
              <w:rPr>
                <w:rFonts w:cstheme="minorHAnsi"/>
              </w:rPr>
              <w:t>– This is assessed by investigating the</w:t>
            </w:r>
            <w:r w:rsidRPr="00A94EB0">
              <w:rPr>
                <w:rFonts w:cstheme="minorHAnsi"/>
              </w:rPr>
              <w:t xml:space="preserve"> degree to which</w:t>
            </w:r>
            <w:r w:rsidR="001D75B9" w:rsidRPr="00A94EB0">
              <w:rPr>
                <w:rFonts w:cstheme="minorHAnsi"/>
              </w:rPr>
              <w:t xml:space="preserve"> </w:t>
            </w:r>
            <w:r w:rsidR="00326378" w:rsidRPr="00A94EB0">
              <w:rPr>
                <w:rFonts w:eastAsia="Arial Unicode MS" w:cstheme="minorHAnsi"/>
              </w:rPr>
              <w:t>the operationalization</w:t>
            </w:r>
            <w:r w:rsidRPr="00A94EB0">
              <w:rPr>
                <w:rFonts w:eastAsia="Arial Unicode MS" w:cstheme="minorHAnsi"/>
              </w:rPr>
              <w:t xml:space="preserve"> adequately reflect</w:t>
            </w:r>
            <w:r w:rsidR="00326378" w:rsidRPr="00A94EB0">
              <w:rPr>
                <w:rFonts w:eastAsia="Arial Unicode MS" w:cstheme="minorHAnsi"/>
              </w:rPr>
              <w:t>s</w:t>
            </w:r>
            <w:r w:rsidRPr="00A94EB0">
              <w:rPr>
                <w:rFonts w:eastAsia="Arial Unicode MS" w:cstheme="minorHAnsi"/>
              </w:rPr>
              <w:t xml:space="preserve"> the dimensionality of the construct to be measured.  For example, a research</w:t>
            </w:r>
            <w:r w:rsidR="00F96EB3" w:rsidRPr="00A94EB0">
              <w:rPr>
                <w:rFonts w:eastAsia="Arial Unicode MS" w:cstheme="minorHAnsi"/>
              </w:rPr>
              <w:t>er</w:t>
            </w:r>
            <w:r w:rsidRPr="00A94EB0">
              <w:rPr>
                <w:rFonts w:eastAsia="Arial Unicode MS" w:cstheme="minorHAnsi"/>
              </w:rPr>
              <w:t xml:space="preserve"> may conduct a factor analysis using the observed scores</w:t>
            </w:r>
            <w:r w:rsidR="00326378" w:rsidRPr="00A94EB0">
              <w:rPr>
                <w:rFonts w:eastAsia="Arial Unicode MS" w:cstheme="minorHAnsi"/>
              </w:rPr>
              <w:t xml:space="preserve"> for a survey</w:t>
            </w:r>
            <w:r w:rsidR="00F96EB3" w:rsidRPr="00A94EB0">
              <w:rPr>
                <w:rFonts w:eastAsia="Arial Unicode MS" w:cstheme="minorHAnsi"/>
              </w:rPr>
              <w:t>.  If the factor analysis reveals the same number of factors as the</w:t>
            </w:r>
            <w:r w:rsidR="00326378" w:rsidRPr="00A94EB0">
              <w:rPr>
                <w:rFonts w:eastAsia="Arial Unicode MS" w:cstheme="minorHAnsi"/>
              </w:rPr>
              <w:t>re were constructs measured on the</w:t>
            </w:r>
            <w:r w:rsidR="00F96EB3" w:rsidRPr="00A94EB0">
              <w:rPr>
                <w:rFonts w:eastAsia="Arial Unicode MS" w:cstheme="minorHAnsi"/>
              </w:rPr>
              <w:t xml:space="preserve"> survey (and the factor loadings show that the right questions are grouped together</w:t>
            </w:r>
            <w:r w:rsidR="00326378" w:rsidRPr="00A94EB0">
              <w:rPr>
                <w:rFonts w:eastAsia="Arial Unicode MS" w:cstheme="minorHAnsi"/>
              </w:rPr>
              <w:t xml:space="preserve"> within factors</w:t>
            </w:r>
            <w:r w:rsidR="00F96EB3" w:rsidRPr="00A94EB0">
              <w:rPr>
                <w:rFonts w:eastAsia="Arial Unicode MS" w:cstheme="minorHAnsi"/>
              </w:rPr>
              <w:t xml:space="preserve">), then structural validity is established.  Such an analysis </w:t>
            </w:r>
            <w:proofErr w:type="gramStart"/>
            <w:r w:rsidR="00F96EB3" w:rsidRPr="00A94EB0">
              <w:rPr>
                <w:rFonts w:eastAsia="Arial Unicode MS" w:cstheme="minorHAnsi"/>
              </w:rPr>
              <w:t>is discussed</w:t>
            </w:r>
            <w:proofErr w:type="gramEnd"/>
            <w:r w:rsidR="00F96EB3" w:rsidRPr="00A94EB0">
              <w:rPr>
                <w:rFonts w:eastAsia="Arial Unicode MS" w:cstheme="minorHAnsi"/>
              </w:rPr>
              <w:t xml:space="preserve"> in the following excerpt from the Nolan et al. paper.</w:t>
            </w:r>
            <w:r w:rsidR="008F46A4" w:rsidRPr="00A94EB0">
              <w:rPr>
                <w:rFonts w:eastAsia="Arial Unicode MS" w:cstheme="minorHAnsi"/>
                <w:color w:val="2E2E2E"/>
              </w:rPr>
              <w:br/>
            </w:r>
            <w:r w:rsidR="008F46A4" w:rsidRPr="00A94EB0">
              <w:rPr>
                <w:rFonts w:eastAsia="Arial Unicode MS" w:cstheme="minorHAnsi"/>
                <w:color w:val="2E2E2E"/>
              </w:rPr>
              <w:br/>
            </w:r>
            <w:r w:rsidR="00F96EB3" w:rsidRPr="00A94EB0">
              <w:rPr>
                <w:rFonts w:cstheme="minorHAnsi"/>
              </w:rPr>
              <w:object w:dxaOrig="12180" w:dyaOrig="2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85.5pt" o:ole="">
                  <v:imagedata r:id="rId17" o:title=""/>
                </v:shape>
                <o:OLEObject Type="Embed" ProgID="PBrush" ShapeID="_x0000_i1025" DrawAspect="Content" ObjectID="_1604828032" r:id="rId18"/>
              </w:object>
            </w:r>
            <w:r w:rsidR="008F46A4" w:rsidRPr="00A94EB0">
              <w:rPr>
                <w:rFonts w:cstheme="minorHAnsi"/>
              </w:rPr>
              <w:br/>
            </w:r>
          </w:p>
        </w:tc>
      </w:tr>
      <w:tr w:rsidR="008F46A4" w:rsidRPr="00A94EB0" w:rsidTr="00D753F4">
        <w:trPr>
          <w:trHeight w:val="1178"/>
        </w:trPr>
        <w:tc>
          <w:tcPr>
            <w:tcW w:w="9468" w:type="dxa"/>
            <w:vAlign w:val="center"/>
          </w:tcPr>
          <w:p w:rsidR="008F46A4" w:rsidRPr="00A94EB0" w:rsidRDefault="008F46A4" w:rsidP="00DD7759">
            <w:pPr>
              <w:contextualSpacing/>
              <w:rPr>
                <w:rFonts w:cstheme="minorHAnsi"/>
              </w:rPr>
            </w:pPr>
            <w:r w:rsidRPr="00A94EB0">
              <w:rPr>
                <w:rFonts w:cstheme="minorHAnsi"/>
                <w:b/>
              </w:rPr>
              <w:lastRenderedPageBreak/>
              <w:t xml:space="preserve">Generalizability </w:t>
            </w:r>
            <w:r w:rsidR="00DD7759" w:rsidRPr="00A94EB0">
              <w:rPr>
                <w:rFonts w:cstheme="minorHAnsi"/>
              </w:rPr>
              <w:t>–</w:t>
            </w:r>
            <w:r w:rsidRPr="00A94EB0">
              <w:rPr>
                <w:rFonts w:cstheme="minorHAnsi"/>
              </w:rPr>
              <w:t xml:space="preserve"> </w:t>
            </w:r>
            <w:r w:rsidR="00DD7759" w:rsidRPr="00A94EB0">
              <w:rPr>
                <w:rFonts w:cstheme="minorHAnsi"/>
              </w:rPr>
              <w:t>This examines the extent to which scores generalize across different population groups, different situations or settings, different time periods, and/or to other operationalizations representative of the construct domain.</w:t>
            </w:r>
          </w:p>
        </w:tc>
      </w:tr>
      <w:tr w:rsidR="00DD7759" w:rsidRPr="00A94EB0" w:rsidTr="00326378">
        <w:trPr>
          <w:trHeight w:val="980"/>
        </w:trPr>
        <w:tc>
          <w:tcPr>
            <w:tcW w:w="9468" w:type="dxa"/>
            <w:vAlign w:val="center"/>
          </w:tcPr>
          <w:p w:rsidR="00DD7759" w:rsidRPr="00A94EB0" w:rsidRDefault="00DD7759" w:rsidP="00326378">
            <w:pPr>
              <w:contextualSpacing/>
              <w:rPr>
                <w:rFonts w:cstheme="minorHAnsi"/>
              </w:rPr>
            </w:pPr>
            <w:r w:rsidRPr="00A94EB0">
              <w:rPr>
                <w:rFonts w:cstheme="minorHAnsi"/>
                <w:b/>
              </w:rPr>
              <w:t xml:space="preserve">External Validity </w:t>
            </w:r>
            <w:r w:rsidRPr="00A94EB0">
              <w:rPr>
                <w:rFonts w:cstheme="minorHAnsi"/>
              </w:rPr>
              <w:t>– This refers to the comparison of the operationalization of interest to external measures (see</w:t>
            </w:r>
            <w:r w:rsidR="00326378" w:rsidRPr="00A94EB0">
              <w:rPr>
                <w:rFonts w:cstheme="minorHAnsi"/>
              </w:rPr>
              <w:t xml:space="preserve"> the earlier discussions of</w:t>
            </w:r>
            <w:r w:rsidRPr="00A94EB0">
              <w:rPr>
                <w:rFonts w:cstheme="minorHAnsi"/>
              </w:rPr>
              <w:t xml:space="preserve"> convergent, div</w:t>
            </w:r>
            <w:r w:rsidR="00326378" w:rsidRPr="00A94EB0">
              <w:rPr>
                <w:rFonts w:cstheme="minorHAnsi"/>
              </w:rPr>
              <w:t>ergent, and predictive validity</w:t>
            </w:r>
            <w:r w:rsidRPr="00A94EB0">
              <w:rPr>
                <w:rFonts w:cstheme="minorHAnsi"/>
              </w:rPr>
              <w:t>).</w:t>
            </w:r>
          </w:p>
        </w:tc>
      </w:tr>
      <w:tr w:rsidR="00DD7759" w:rsidRPr="00A94EB0" w:rsidTr="00326378">
        <w:trPr>
          <w:trHeight w:val="1160"/>
        </w:trPr>
        <w:tc>
          <w:tcPr>
            <w:tcW w:w="9468" w:type="dxa"/>
            <w:vAlign w:val="center"/>
          </w:tcPr>
          <w:p w:rsidR="00DD7759" w:rsidRPr="00A94EB0" w:rsidRDefault="00DD7759" w:rsidP="00CC1059">
            <w:pPr>
              <w:contextualSpacing/>
              <w:rPr>
                <w:rFonts w:cstheme="minorHAnsi"/>
              </w:rPr>
            </w:pPr>
            <w:r w:rsidRPr="00A94EB0">
              <w:rPr>
                <w:rFonts w:cstheme="minorHAnsi"/>
                <w:b/>
              </w:rPr>
              <w:t xml:space="preserve">Consequential Validity </w:t>
            </w:r>
            <w:r w:rsidR="00CC1059" w:rsidRPr="00A94EB0">
              <w:rPr>
                <w:rFonts w:cstheme="minorHAnsi"/>
              </w:rPr>
              <w:t>–</w:t>
            </w:r>
            <w:r w:rsidRPr="00A94EB0">
              <w:rPr>
                <w:rFonts w:cstheme="minorHAnsi"/>
              </w:rPr>
              <w:t xml:space="preserve"> </w:t>
            </w:r>
            <w:r w:rsidR="00CC1059" w:rsidRPr="00A94EB0">
              <w:rPr>
                <w:rFonts w:cstheme="minorHAnsi"/>
              </w:rPr>
              <w:t xml:space="preserve">This includes gathering evidence and rationales for evaluating the consequences of score interpretations from a survey.  Researchers should accrue evidence of positive consequences and evidence that adverse consequences are minimal.  </w:t>
            </w:r>
          </w:p>
        </w:tc>
      </w:tr>
    </w:tbl>
    <w:p w:rsidR="001D75B9" w:rsidRPr="00A94EB0" w:rsidRDefault="001D75B9" w:rsidP="00794C36">
      <w:pPr>
        <w:tabs>
          <w:tab w:val="left" w:pos="2813"/>
        </w:tabs>
        <w:spacing w:after="0" w:line="240" w:lineRule="auto"/>
        <w:rPr>
          <w:rFonts w:cstheme="minorHAnsi"/>
          <w:noProof/>
        </w:rPr>
      </w:pPr>
    </w:p>
    <w:p w:rsidR="008F46A4" w:rsidRPr="00A94EB0" w:rsidRDefault="00CC1059" w:rsidP="00CC1059">
      <w:pPr>
        <w:autoSpaceDE w:val="0"/>
        <w:autoSpaceDN w:val="0"/>
        <w:adjustRightInd w:val="0"/>
        <w:spacing w:after="0" w:line="240" w:lineRule="auto"/>
        <w:rPr>
          <w:rFonts w:cstheme="minorHAnsi"/>
        </w:rPr>
      </w:pPr>
      <w:r w:rsidRPr="00A94EB0">
        <w:rPr>
          <w:rFonts w:cstheme="minorHAnsi"/>
        </w:rPr>
        <w:t>With this more modern framework, t</w:t>
      </w:r>
      <w:r w:rsidR="008F46A4" w:rsidRPr="00A94EB0">
        <w:rPr>
          <w:rFonts w:cstheme="minorHAnsi"/>
        </w:rPr>
        <w:t xml:space="preserve">he process of </w:t>
      </w:r>
      <w:r w:rsidRPr="00A94EB0">
        <w:rPr>
          <w:rFonts w:cstheme="minorHAnsi"/>
        </w:rPr>
        <w:t>establishing construct validity</w:t>
      </w:r>
      <w:r w:rsidR="00326378" w:rsidRPr="00A94EB0">
        <w:rPr>
          <w:rFonts w:cstheme="minorHAnsi"/>
        </w:rPr>
        <w:t xml:space="preserve"> could potentially</w:t>
      </w:r>
      <w:r w:rsidR="008F46A4" w:rsidRPr="00A94EB0">
        <w:rPr>
          <w:rFonts w:cstheme="minorHAnsi"/>
        </w:rPr>
        <w:t xml:space="preserve"> involve the</w:t>
      </w:r>
      <w:r w:rsidRPr="00A94EB0">
        <w:rPr>
          <w:rFonts w:cstheme="minorHAnsi"/>
        </w:rPr>
        <w:t xml:space="preserve"> </w:t>
      </w:r>
      <w:r w:rsidR="008F46A4" w:rsidRPr="00A94EB0">
        <w:rPr>
          <w:rFonts w:cstheme="minorHAnsi"/>
        </w:rPr>
        <w:t xml:space="preserve">accumulation of </w:t>
      </w:r>
      <w:r w:rsidRPr="00A94EB0">
        <w:rPr>
          <w:rFonts w:cstheme="minorHAnsi"/>
        </w:rPr>
        <w:t xml:space="preserve">all </w:t>
      </w:r>
      <w:r w:rsidR="008F46A4" w:rsidRPr="00A94EB0">
        <w:rPr>
          <w:rFonts w:cstheme="minorHAnsi"/>
        </w:rPr>
        <w:t xml:space="preserve">six </w:t>
      </w:r>
      <w:r w:rsidRPr="00A94EB0">
        <w:rPr>
          <w:rFonts w:cstheme="minorHAnsi"/>
        </w:rPr>
        <w:t xml:space="preserve">of the aforementioned </w:t>
      </w:r>
      <w:r w:rsidR="008F46A4" w:rsidRPr="00A94EB0">
        <w:rPr>
          <w:rFonts w:cstheme="minorHAnsi"/>
        </w:rPr>
        <w:t>forms of validity evidence</w:t>
      </w:r>
      <w:r w:rsidRPr="00A94EB0">
        <w:rPr>
          <w:rFonts w:cstheme="minorHAnsi"/>
        </w:rPr>
        <w:t>.  Note, h</w:t>
      </w:r>
      <w:r w:rsidR="008F46A4" w:rsidRPr="00A94EB0">
        <w:rPr>
          <w:rFonts w:cstheme="minorHAnsi"/>
        </w:rPr>
        <w:t xml:space="preserve">owever, </w:t>
      </w:r>
      <w:r w:rsidRPr="00A94EB0">
        <w:rPr>
          <w:rFonts w:cstheme="minorHAnsi"/>
        </w:rPr>
        <w:t xml:space="preserve">that </w:t>
      </w:r>
      <w:r w:rsidR="008F46A4" w:rsidRPr="00A94EB0">
        <w:rPr>
          <w:rFonts w:cstheme="minorHAnsi"/>
        </w:rPr>
        <w:t>a “compelling argument” for validity can still be made</w:t>
      </w:r>
      <w:r w:rsidRPr="00A94EB0">
        <w:rPr>
          <w:rFonts w:cstheme="minorHAnsi"/>
        </w:rPr>
        <w:t xml:space="preserve"> even if some of these aren’t addressed.</w:t>
      </w:r>
      <w:r w:rsidRPr="00A94EB0">
        <w:rPr>
          <w:rFonts w:cstheme="minorHAnsi"/>
        </w:rPr>
        <w:br/>
      </w:r>
    </w:p>
    <w:p w:rsidR="00794C36" w:rsidRPr="00A94EB0" w:rsidRDefault="00794C36" w:rsidP="009B0D40">
      <w:pPr>
        <w:tabs>
          <w:tab w:val="left" w:pos="2813"/>
        </w:tabs>
        <w:spacing w:after="0"/>
        <w:rPr>
          <w:rFonts w:cstheme="minorHAnsi"/>
          <w:sz w:val="20"/>
          <w:szCs w:val="20"/>
        </w:rPr>
      </w:pPr>
      <w:r w:rsidRPr="00A94EB0">
        <w:rPr>
          <w:rStyle w:val="reference-text"/>
          <w:rFonts w:cstheme="minorHAnsi"/>
          <w:sz w:val="20"/>
          <w:szCs w:val="20"/>
          <w:lang w:val="en"/>
        </w:rPr>
        <w:t xml:space="preserve">Source: </w:t>
      </w:r>
      <w:proofErr w:type="spellStart"/>
      <w:r w:rsidRPr="00A94EB0">
        <w:rPr>
          <w:rStyle w:val="reference-text"/>
          <w:rFonts w:cstheme="minorHAnsi"/>
          <w:sz w:val="20"/>
          <w:szCs w:val="20"/>
          <w:lang w:val="en"/>
        </w:rPr>
        <w:t>Messick</w:t>
      </w:r>
      <w:proofErr w:type="spellEnd"/>
      <w:r w:rsidRPr="00A94EB0">
        <w:rPr>
          <w:rStyle w:val="reference-text"/>
          <w:rFonts w:cstheme="minorHAnsi"/>
          <w:sz w:val="20"/>
          <w:szCs w:val="20"/>
          <w:lang w:val="en"/>
        </w:rPr>
        <w:t xml:space="preserve">, Samuel. (1995). Validity of psychological assessment: Validation of inferences from persons’ responses and performances as scientific inquiry into score meaning. </w:t>
      </w:r>
      <w:r w:rsidRPr="00A94EB0">
        <w:rPr>
          <w:rStyle w:val="reference-text"/>
          <w:rFonts w:cstheme="minorHAnsi"/>
          <w:i/>
          <w:iCs/>
          <w:sz w:val="20"/>
          <w:szCs w:val="20"/>
          <w:lang w:val="en"/>
        </w:rPr>
        <w:t>American Psychologist, 50</w:t>
      </w:r>
      <w:r w:rsidRPr="00A94EB0">
        <w:rPr>
          <w:rStyle w:val="reference-text"/>
          <w:rFonts w:cstheme="minorHAnsi"/>
          <w:sz w:val="20"/>
          <w:szCs w:val="20"/>
          <w:lang w:val="en"/>
        </w:rPr>
        <w:t>, 741-749.</w:t>
      </w:r>
      <w:r w:rsidRPr="00A94EB0">
        <w:rPr>
          <w:rStyle w:val="reference-text"/>
          <w:rFonts w:cstheme="minorHAnsi"/>
          <w:sz w:val="20"/>
          <w:szCs w:val="20"/>
          <w:lang w:val="en"/>
        </w:rPr>
        <w:br/>
      </w:r>
    </w:p>
    <w:p w:rsidR="00CC1059" w:rsidRPr="00A94EB0" w:rsidRDefault="005E6875" w:rsidP="009B0D40">
      <w:pPr>
        <w:tabs>
          <w:tab w:val="left" w:pos="2813"/>
        </w:tabs>
        <w:spacing w:after="0"/>
        <w:rPr>
          <w:rFonts w:cstheme="minorHAnsi"/>
          <w:b/>
          <w:u w:val="single"/>
        </w:rPr>
      </w:pPr>
      <w:r w:rsidRPr="00A94EB0">
        <w:rPr>
          <w:rFonts w:cstheme="minorHAnsi"/>
          <w:b/>
          <w:u w:val="single"/>
        </w:rPr>
        <w:t xml:space="preserve">CONSIDERING </w:t>
      </w:r>
      <w:r w:rsidR="00CC1059" w:rsidRPr="00A94EB0">
        <w:rPr>
          <w:rFonts w:cstheme="minorHAnsi"/>
          <w:b/>
          <w:u w:val="single"/>
        </w:rPr>
        <w:t>VALIDITY AND RELIABILITY</w:t>
      </w:r>
      <w:r w:rsidRPr="00A94EB0">
        <w:rPr>
          <w:rFonts w:cstheme="minorHAnsi"/>
          <w:b/>
          <w:u w:val="single"/>
        </w:rPr>
        <w:t xml:space="preserve"> SIMULTANEOUSLY</w:t>
      </w:r>
    </w:p>
    <w:p w:rsidR="00A94EB0" w:rsidRDefault="00A94EB0" w:rsidP="009B0D40">
      <w:pPr>
        <w:tabs>
          <w:tab w:val="left" w:pos="2813"/>
        </w:tabs>
        <w:spacing w:after="0"/>
        <w:rPr>
          <w:rFonts w:cstheme="minorHAnsi"/>
        </w:rPr>
      </w:pPr>
    </w:p>
    <w:p w:rsidR="00204F5A" w:rsidRPr="00A94EB0" w:rsidRDefault="006B337F" w:rsidP="009B0D40">
      <w:pPr>
        <w:tabs>
          <w:tab w:val="left" w:pos="2813"/>
        </w:tabs>
        <w:spacing w:after="0"/>
        <w:rPr>
          <w:rFonts w:cstheme="minorHAnsi"/>
        </w:rPr>
      </w:pPr>
      <w:r w:rsidRPr="00A94EB0">
        <w:rPr>
          <w:rFonts w:cstheme="minorHAnsi"/>
        </w:rPr>
        <w:t xml:space="preserve">Often, validity and reliability </w:t>
      </w:r>
      <w:proofErr w:type="gramStart"/>
      <w:r w:rsidRPr="00A94EB0">
        <w:rPr>
          <w:rFonts w:cstheme="minorHAnsi"/>
        </w:rPr>
        <w:t>are viewed</w:t>
      </w:r>
      <w:proofErr w:type="gramEnd"/>
      <w:r w:rsidRPr="00A94EB0">
        <w:rPr>
          <w:rFonts w:cstheme="minorHAnsi"/>
        </w:rPr>
        <w:t xml:space="preserve"> as completely separate ideas.  To</w:t>
      </w:r>
      <w:r w:rsidR="005E6875" w:rsidRPr="00A94EB0">
        <w:rPr>
          <w:rFonts w:cstheme="minorHAnsi"/>
        </w:rPr>
        <w:t xml:space="preserve"> think about how the two are related, we can use a “target” analogy.  Let the center of the target represent the construct you intend to measure.  For each subject that responds to your survey questionnaire, you take a shot at the target.  If you measure the concept perfectly for a person, you hit the center of that target.  The figure below shows four possible situations.</w:t>
      </w:r>
    </w:p>
    <w:p w:rsidR="005E6875" w:rsidRPr="00A94EB0" w:rsidRDefault="005E6875" w:rsidP="009B0D40">
      <w:pPr>
        <w:tabs>
          <w:tab w:val="left" w:pos="2813"/>
        </w:tabs>
        <w:spacing w:after="0"/>
        <w:rPr>
          <w:rFonts w:cstheme="minorHAnsi"/>
        </w:rPr>
      </w:pPr>
    </w:p>
    <w:tbl>
      <w:tblPr>
        <w:tblStyle w:val="TableGrid"/>
        <w:tblW w:w="0" w:type="auto"/>
        <w:tblLook w:val="04A0" w:firstRow="1" w:lastRow="0" w:firstColumn="1" w:lastColumn="0" w:noHBand="0" w:noVBand="1"/>
      </w:tblPr>
      <w:tblGrid>
        <w:gridCol w:w="2337"/>
        <w:gridCol w:w="2337"/>
        <w:gridCol w:w="2338"/>
        <w:gridCol w:w="2338"/>
      </w:tblGrid>
      <w:tr w:rsidR="008F51E6" w:rsidRPr="00A94EB0" w:rsidTr="008F51E6">
        <w:tc>
          <w:tcPr>
            <w:tcW w:w="2337" w:type="dxa"/>
            <w:shd w:val="clear" w:color="auto" w:fill="F2F2F2" w:themeFill="background1" w:themeFillShade="F2"/>
          </w:tcPr>
          <w:p w:rsidR="008F51E6" w:rsidRPr="00A94EB0" w:rsidRDefault="008F51E6" w:rsidP="008F51E6">
            <w:pPr>
              <w:tabs>
                <w:tab w:val="left" w:pos="2813"/>
              </w:tabs>
              <w:jc w:val="center"/>
              <w:rPr>
                <w:rFonts w:cstheme="minorHAnsi"/>
              </w:rPr>
            </w:pPr>
            <w:r w:rsidRPr="00A94EB0">
              <w:rPr>
                <w:rFonts w:cstheme="minorHAnsi"/>
              </w:rPr>
              <w:t>High Reliability</w:t>
            </w:r>
            <w:r w:rsidRPr="00A94EB0">
              <w:rPr>
                <w:rFonts w:cstheme="minorHAnsi"/>
              </w:rPr>
              <w:br/>
              <w:t>High Validity</w:t>
            </w:r>
          </w:p>
        </w:tc>
        <w:tc>
          <w:tcPr>
            <w:tcW w:w="2336" w:type="dxa"/>
            <w:shd w:val="clear" w:color="auto" w:fill="F2F2F2" w:themeFill="background1" w:themeFillShade="F2"/>
          </w:tcPr>
          <w:p w:rsidR="008F51E6" w:rsidRPr="00A94EB0" w:rsidRDefault="008F51E6" w:rsidP="008F51E6">
            <w:pPr>
              <w:tabs>
                <w:tab w:val="left" w:pos="2813"/>
              </w:tabs>
              <w:jc w:val="center"/>
              <w:rPr>
                <w:rFonts w:cstheme="minorHAnsi"/>
              </w:rPr>
            </w:pPr>
            <w:r w:rsidRPr="00A94EB0">
              <w:rPr>
                <w:rFonts w:cstheme="minorHAnsi"/>
              </w:rPr>
              <w:t>High Reliability</w:t>
            </w:r>
          </w:p>
          <w:p w:rsidR="008F51E6" w:rsidRPr="00A94EB0" w:rsidRDefault="008F51E6" w:rsidP="008F51E6">
            <w:pPr>
              <w:tabs>
                <w:tab w:val="left" w:pos="2813"/>
              </w:tabs>
              <w:jc w:val="center"/>
              <w:rPr>
                <w:rFonts w:cstheme="minorHAnsi"/>
              </w:rPr>
            </w:pPr>
            <w:r w:rsidRPr="00A94EB0">
              <w:rPr>
                <w:rFonts w:cstheme="minorHAnsi"/>
              </w:rPr>
              <w:t>Not Valid</w:t>
            </w:r>
          </w:p>
        </w:tc>
        <w:tc>
          <w:tcPr>
            <w:tcW w:w="2336" w:type="dxa"/>
            <w:shd w:val="clear" w:color="auto" w:fill="F2F2F2" w:themeFill="background1" w:themeFillShade="F2"/>
          </w:tcPr>
          <w:p w:rsidR="008F51E6" w:rsidRPr="00A94EB0" w:rsidRDefault="008F51E6" w:rsidP="008F51E6">
            <w:pPr>
              <w:tabs>
                <w:tab w:val="left" w:pos="2813"/>
              </w:tabs>
              <w:jc w:val="center"/>
              <w:rPr>
                <w:rFonts w:cstheme="minorHAnsi"/>
              </w:rPr>
            </w:pPr>
            <w:r w:rsidRPr="00A94EB0">
              <w:rPr>
                <w:rFonts w:cstheme="minorHAnsi"/>
              </w:rPr>
              <w:t>Low Reliability</w:t>
            </w:r>
            <w:r w:rsidRPr="00A94EB0">
              <w:rPr>
                <w:rFonts w:cstheme="minorHAnsi"/>
              </w:rPr>
              <w:br/>
              <w:t>Low Validity</w:t>
            </w:r>
          </w:p>
        </w:tc>
        <w:tc>
          <w:tcPr>
            <w:tcW w:w="2336" w:type="dxa"/>
            <w:shd w:val="clear" w:color="auto" w:fill="F2F2F2" w:themeFill="background1" w:themeFillShade="F2"/>
          </w:tcPr>
          <w:p w:rsidR="008F51E6" w:rsidRPr="00A94EB0" w:rsidRDefault="008F51E6" w:rsidP="008F51E6">
            <w:pPr>
              <w:tabs>
                <w:tab w:val="left" w:pos="2813"/>
              </w:tabs>
              <w:jc w:val="center"/>
              <w:rPr>
                <w:rFonts w:cstheme="minorHAnsi"/>
              </w:rPr>
            </w:pPr>
            <w:r w:rsidRPr="00A94EB0">
              <w:rPr>
                <w:rFonts w:cstheme="minorHAnsi"/>
              </w:rPr>
              <w:t xml:space="preserve">Low </w:t>
            </w:r>
            <w:r w:rsidR="00531D44" w:rsidRPr="00A94EB0">
              <w:rPr>
                <w:rFonts w:cstheme="minorHAnsi"/>
              </w:rPr>
              <w:t>Reliability</w:t>
            </w:r>
            <w:r w:rsidRPr="00A94EB0">
              <w:rPr>
                <w:rFonts w:cstheme="minorHAnsi"/>
              </w:rPr>
              <w:br/>
              <w:t>Not Valid</w:t>
            </w:r>
          </w:p>
        </w:tc>
      </w:tr>
      <w:tr w:rsidR="008F51E6" w:rsidRPr="00A94EB0" w:rsidTr="008F51E6">
        <w:tc>
          <w:tcPr>
            <w:tcW w:w="2337" w:type="dxa"/>
          </w:tcPr>
          <w:p w:rsidR="008F51E6" w:rsidRPr="00A94EB0" w:rsidRDefault="008F51E6" w:rsidP="008F51E6">
            <w:pPr>
              <w:tabs>
                <w:tab w:val="left" w:pos="2813"/>
              </w:tabs>
              <w:rPr>
                <w:rFonts w:cstheme="minorHAnsi"/>
              </w:rPr>
            </w:pPr>
            <w:r w:rsidRPr="00A94EB0">
              <w:rPr>
                <w:rFonts w:cstheme="minorHAnsi"/>
                <w:noProof/>
              </w:rPr>
              <w:drawing>
                <wp:inline distT="0" distB="0" distL="0" distR="0" wp14:anchorId="00926D59" wp14:editId="0C799147">
                  <wp:extent cx="1374063" cy="13540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90599" cy="1370299"/>
                          </a:xfrm>
                          <a:prstGeom prst="rect">
                            <a:avLst/>
                          </a:prstGeom>
                        </pic:spPr>
                      </pic:pic>
                    </a:graphicData>
                  </a:graphic>
                </wp:inline>
              </w:drawing>
            </w:r>
          </w:p>
        </w:tc>
        <w:tc>
          <w:tcPr>
            <w:tcW w:w="2336" w:type="dxa"/>
          </w:tcPr>
          <w:p w:rsidR="008F51E6" w:rsidRPr="00A94EB0" w:rsidRDefault="008F51E6" w:rsidP="008F51E6">
            <w:pPr>
              <w:tabs>
                <w:tab w:val="left" w:pos="2813"/>
              </w:tabs>
              <w:rPr>
                <w:rFonts w:cstheme="minorHAnsi"/>
              </w:rPr>
            </w:pPr>
            <w:r w:rsidRPr="00A94EB0">
              <w:rPr>
                <w:rFonts w:cstheme="minorHAnsi"/>
                <w:noProof/>
              </w:rPr>
              <w:drawing>
                <wp:inline distT="0" distB="0" distL="0" distR="0" wp14:anchorId="2EC70F23" wp14:editId="259C757D">
                  <wp:extent cx="1374063" cy="13540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90599" cy="1370299"/>
                          </a:xfrm>
                          <a:prstGeom prst="rect">
                            <a:avLst/>
                          </a:prstGeom>
                        </pic:spPr>
                      </pic:pic>
                    </a:graphicData>
                  </a:graphic>
                </wp:inline>
              </w:drawing>
            </w:r>
          </w:p>
        </w:tc>
        <w:tc>
          <w:tcPr>
            <w:tcW w:w="2336" w:type="dxa"/>
          </w:tcPr>
          <w:p w:rsidR="008F51E6" w:rsidRPr="00A94EB0" w:rsidRDefault="008F51E6" w:rsidP="008F51E6">
            <w:pPr>
              <w:tabs>
                <w:tab w:val="left" w:pos="2813"/>
              </w:tabs>
              <w:rPr>
                <w:rFonts w:cstheme="minorHAnsi"/>
              </w:rPr>
            </w:pPr>
            <w:r w:rsidRPr="00A94EB0">
              <w:rPr>
                <w:rFonts w:cstheme="minorHAnsi"/>
                <w:noProof/>
              </w:rPr>
              <w:drawing>
                <wp:inline distT="0" distB="0" distL="0" distR="0" wp14:anchorId="7E540E57" wp14:editId="79B72490">
                  <wp:extent cx="1374063" cy="13540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90599" cy="1370299"/>
                          </a:xfrm>
                          <a:prstGeom prst="rect">
                            <a:avLst/>
                          </a:prstGeom>
                        </pic:spPr>
                      </pic:pic>
                    </a:graphicData>
                  </a:graphic>
                </wp:inline>
              </w:drawing>
            </w:r>
          </w:p>
        </w:tc>
        <w:tc>
          <w:tcPr>
            <w:tcW w:w="2336" w:type="dxa"/>
          </w:tcPr>
          <w:p w:rsidR="008F51E6" w:rsidRPr="00A94EB0" w:rsidRDefault="008F51E6" w:rsidP="008F51E6">
            <w:pPr>
              <w:tabs>
                <w:tab w:val="left" w:pos="2813"/>
              </w:tabs>
              <w:rPr>
                <w:rFonts w:cstheme="minorHAnsi"/>
              </w:rPr>
            </w:pPr>
            <w:r w:rsidRPr="00A94EB0">
              <w:rPr>
                <w:rFonts w:cstheme="minorHAnsi"/>
                <w:noProof/>
              </w:rPr>
              <w:drawing>
                <wp:inline distT="0" distB="0" distL="0" distR="0" wp14:anchorId="0202A1C6" wp14:editId="3A04ED57">
                  <wp:extent cx="1374063" cy="13540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90599" cy="1370299"/>
                          </a:xfrm>
                          <a:prstGeom prst="rect">
                            <a:avLst/>
                          </a:prstGeom>
                        </pic:spPr>
                      </pic:pic>
                    </a:graphicData>
                  </a:graphic>
                </wp:inline>
              </w:drawing>
            </w:r>
          </w:p>
        </w:tc>
      </w:tr>
      <w:tr w:rsidR="008F51E6" w:rsidRPr="00A94EB0" w:rsidTr="00FF0C69">
        <w:tc>
          <w:tcPr>
            <w:tcW w:w="9350" w:type="dxa"/>
            <w:gridSpan w:val="4"/>
          </w:tcPr>
          <w:p w:rsidR="008F51E6" w:rsidRPr="00A94EB0" w:rsidRDefault="008F51E6" w:rsidP="008F51E6">
            <w:pPr>
              <w:tabs>
                <w:tab w:val="left" w:pos="2813"/>
              </w:tabs>
              <w:rPr>
                <w:rFonts w:cstheme="minorHAnsi"/>
                <w:noProof/>
              </w:rPr>
            </w:pPr>
            <w:r w:rsidRPr="00A94EB0">
              <w:rPr>
                <w:rFonts w:cstheme="minorHAnsi"/>
              </w:rPr>
              <w:t xml:space="preserve">Source: </w:t>
            </w:r>
            <w:hyperlink r:id="rId20" w:history="1">
              <w:r w:rsidRPr="00A94EB0">
                <w:rPr>
                  <w:rStyle w:val="Hyperlink"/>
                  <w:rFonts w:cstheme="minorHAnsi"/>
                </w:rPr>
                <w:t>https://www.socialresearchmethods.net/kb/relandval.php</w:t>
              </w:r>
            </w:hyperlink>
          </w:p>
        </w:tc>
      </w:tr>
    </w:tbl>
    <w:p w:rsidR="009E0173" w:rsidRPr="00A94EB0" w:rsidRDefault="009E0173" w:rsidP="009B0D40">
      <w:pPr>
        <w:tabs>
          <w:tab w:val="left" w:pos="2813"/>
        </w:tabs>
        <w:spacing w:after="0"/>
        <w:rPr>
          <w:rFonts w:cstheme="minorHAnsi"/>
        </w:rPr>
      </w:pPr>
    </w:p>
    <w:sectPr w:rsidR="009E0173" w:rsidRPr="00A94EB0">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5D3" w:rsidRDefault="009305D3" w:rsidP="00881C95">
      <w:pPr>
        <w:spacing w:after="0" w:line="240" w:lineRule="auto"/>
      </w:pPr>
      <w:r>
        <w:separator/>
      </w:r>
    </w:p>
  </w:endnote>
  <w:endnote w:type="continuationSeparator" w:id="0">
    <w:p w:rsidR="009305D3" w:rsidRDefault="009305D3" w:rsidP="00881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DLFPL C+ Time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2595" w:rsidRDefault="00B425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5341609"/>
      <w:docPartObj>
        <w:docPartGallery w:val="Page Numbers (Bottom of Page)"/>
        <w:docPartUnique/>
      </w:docPartObj>
    </w:sdtPr>
    <w:sdtEndPr>
      <w:rPr>
        <w:rFonts w:ascii="Palatino Linotype" w:hAnsi="Palatino Linotype"/>
        <w:noProof/>
      </w:rPr>
    </w:sdtEndPr>
    <w:sdtContent>
      <w:p w:rsidR="0058218C" w:rsidRPr="008D4E39" w:rsidRDefault="0058218C">
        <w:pPr>
          <w:pStyle w:val="Footer"/>
          <w:jc w:val="right"/>
          <w:rPr>
            <w:rFonts w:ascii="Palatino Linotype" w:hAnsi="Palatino Linotype"/>
          </w:rPr>
        </w:pPr>
        <w:r w:rsidRPr="008D4E39">
          <w:rPr>
            <w:rFonts w:ascii="Palatino Linotype" w:hAnsi="Palatino Linotype"/>
          </w:rPr>
          <w:fldChar w:fldCharType="begin"/>
        </w:r>
        <w:r w:rsidRPr="008D4E39">
          <w:rPr>
            <w:rFonts w:ascii="Palatino Linotype" w:hAnsi="Palatino Linotype"/>
          </w:rPr>
          <w:instrText xml:space="preserve"> PAGE   \* MERGEFORMAT </w:instrText>
        </w:r>
        <w:r w:rsidRPr="008D4E39">
          <w:rPr>
            <w:rFonts w:ascii="Palatino Linotype" w:hAnsi="Palatino Linotype"/>
          </w:rPr>
          <w:fldChar w:fldCharType="separate"/>
        </w:r>
        <w:r w:rsidR="00A94EB0">
          <w:rPr>
            <w:rFonts w:ascii="Palatino Linotype" w:hAnsi="Palatino Linotype"/>
            <w:noProof/>
          </w:rPr>
          <w:t>3</w:t>
        </w:r>
        <w:r w:rsidRPr="008D4E39">
          <w:rPr>
            <w:rFonts w:ascii="Palatino Linotype" w:hAnsi="Palatino Linotype"/>
            <w:noProof/>
          </w:rPr>
          <w:fldChar w:fldCharType="end"/>
        </w:r>
      </w:p>
    </w:sdtContent>
  </w:sdt>
  <w:p w:rsidR="0058218C" w:rsidRDefault="005821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2595" w:rsidRDefault="00B425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5D3" w:rsidRDefault="009305D3" w:rsidP="00881C95">
      <w:pPr>
        <w:spacing w:after="0" w:line="240" w:lineRule="auto"/>
      </w:pPr>
      <w:r>
        <w:separator/>
      </w:r>
    </w:p>
  </w:footnote>
  <w:footnote w:type="continuationSeparator" w:id="0">
    <w:p w:rsidR="009305D3" w:rsidRDefault="009305D3" w:rsidP="00881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2595" w:rsidRDefault="00B425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18C" w:rsidRPr="007011F0" w:rsidRDefault="0058218C" w:rsidP="00881C95">
    <w:pPr>
      <w:pStyle w:val="Header"/>
      <w:tabs>
        <w:tab w:val="left" w:pos="2580"/>
        <w:tab w:val="left" w:pos="2985"/>
      </w:tabs>
      <w:rPr>
        <w:rFonts w:ascii="Palatino Linotype" w:hAnsi="Palatino Linotype"/>
        <w:b/>
        <w:bCs/>
        <w:sz w:val="24"/>
        <w:szCs w:val="24"/>
      </w:rPr>
    </w:pPr>
    <w:r w:rsidRPr="007011F0">
      <w:rPr>
        <w:rFonts w:ascii="Palatino Linotype" w:hAnsi="Palatino Linotype"/>
        <w:b/>
        <w:bCs/>
        <w:sz w:val="24"/>
        <w:szCs w:val="24"/>
      </w:rPr>
      <w:t xml:space="preserve">Handout </w:t>
    </w:r>
    <w:r w:rsidR="00B42595">
      <w:rPr>
        <w:rFonts w:ascii="Palatino Linotype" w:hAnsi="Palatino Linotype"/>
        <w:b/>
        <w:bCs/>
        <w:sz w:val="24"/>
        <w:szCs w:val="24"/>
      </w:rPr>
      <w:t>8</w:t>
    </w:r>
    <w:r w:rsidRPr="007011F0">
      <w:rPr>
        <w:rFonts w:ascii="Palatino Linotype" w:hAnsi="Palatino Linotype"/>
        <w:b/>
        <w:bCs/>
        <w:sz w:val="24"/>
        <w:szCs w:val="24"/>
      </w:rPr>
      <w:t xml:space="preserve">:  </w:t>
    </w:r>
    <w:r w:rsidR="00AA4460">
      <w:rPr>
        <w:rFonts w:ascii="Palatino Linotype" w:hAnsi="Palatino Linotype"/>
        <w:b/>
        <w:bCs/>
        <w:sz w:val="24"/>
        <w:szCs w:val="24"/>
      </w:rPr>
      <w:t xml:space="preserve">Establishing the </w:t>
    </w:r>
    <w:r w:rsidR="00CF2C37">
      <w:rPr>
        <w:rFonts w:ascii="Palatino Linotype" w:hAnsi="Palatino Linotype"/>
        <w:b/>
        <w:bCs/>
        <w:sz w:val="24"/>
        <w:szCs w:val="24"/>
      </w:rPr>
      <w:t>Validity</w:t>
    </w:r>
    <w:r>
      <w:rPr>
        <w:rFonts w:ascii="Palatino Linotype" w:hAnsi="Palatino Linotype"/>
        <w:b/>
        <w:bCs/>
        <w:sz w:val="24"/>
        <w:szCs w:val="24"/>
      </w:rPr>
      <w:t xml:space="preserve"> of a Survey Instrument</w:t>
    </w:r>
  </w:p>
  <w:p w:rsidR="0058218C" w:rsidRPr="00CB3D72" w:rsidRDefault="0058218C" w:rsidP="00881C95">
    <w:pPr>
      <w:pStyle w:val="Header"/>
      <w:tabs>
        <w:tab w:val="left" w:pos="2580"/>
        <w:tab w:val="left" w:pos="2985"/>
      </w:tabs>
      <w:rPr>
        <w:rFonts w:ascii="Palatino Linotype" w:hAnsi="Palatino Linotype"/>
        <w:sz w:val="18"/>
        <w:szCs w:val="18"/>
      </w:rPr>
    </w:pPr>
    <w:r>
      <w:rPr>
        <w:rFonts w:ascii="Palatino Linotype" w:hAnsi="Palatino Linotype"/>
        <w:sz w:val="18"/>
        <w:szCs w:val="18"/>
      </w:rPr>
      <w:t xml:space="preserve">STAT </w:t>
    </w:r>
    <w:r w:rsidR="00786FF9">
      <w:rPr>
        <w:rFonts w:ascii="Palatino Linotype" w:hAnsi="Palatino Linotype"/>
        <w:sz w:val="18"/>
        <w:szCs w:val="18"/>
      </w:rPr>
      <w:t>335</w:t>
    </w:r>
  </w:p>
  <w:p w:rsidR="0058218C" w:rsidRPr="00CB3D72" w:rsidRDefault="0058218C" w:rsidP="00881C95">
    <w:pPr>
      <w:pStyle w:val="Header"/>
      <w:pBdr>
        <w:bottom w:val="single" w:sz="4" w:space="1" w:color="A5A5A5" w:themeColor="background1" w:themeShade="A5"/>
      </w:pBdr>
      <w:tabs>
        <w:tab w:val="left" w:pos="2580"/>
        <w:tab w:val="left" w:pos="2985"/>
      </w:tabs>
      <w:rPr>
        <w:color w:val="7F7F7F" w:themeColor="text1" w:themeTint="80"/>
        <w:sz w:val="18"/>
        <w:szCs w:val="18"/>
      </w:rPr>
    </w:pPr>
  </w:p>
  <w:p w:rsidR="0058218C" w:rsidRDefault="005821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2595" w:rsidRDefault="00B425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728F9"/>
    <w:multiLevelType w:val="hybridMultilevel"/>
    <w:tmpl w:val="182CC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1507F9"/>
    <w:multiLevelType w:val="hybridMultilevel"/>
    <w:tmpl w:val="293A0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9E146D"/>
    <w:multiLevelType w:val="hybridMultilevel"/>
    <w:tmpl w:val="AE848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7D6B67"/>
    <w:multiLevelType w:val="hybridMultilevel"/>
    <w:tmpl w:val="2BA6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BF608C"/>
    <w:multiLevelType w:val="hybridMultilevel"/>
    <w:tmpl w:val="2E5A8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2A39EF"/>
    <w:multiLevelType w:val="hybridMultilevel"/>
    <w:tmpl w:val="BCFE0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1C0AE8"/>
    <w:multiLevelType w:val="hybridMultilevel"/>
    <w:tmpl w:val="987E9B2C"/>
    <w:lvl w:ilvl="0" w:tplc="2B34CC6A">
      <w:start w:val="1"/>
      <w:numFmt w:val="decimal"/>
      <w:lvlText w:val="%1."/>
      <w:lvlJc w:val="left"/>
      <w:pPr>
        <w:ind w:left="720" w:hanging="360"/>
      </w:pPr>
      <w:rPr>
        <w:rFonts w:ascii="Palatino Linotype" w:hAnsi="Palatino Linotyp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E31CD4"/>
    <w:multiLevelType w:val="hybridMultilevel"/>
    <w:tmpl w:val="4552E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495677"/>
    <w:multiLevelType w:val="hybridMultilevel"/>
    <w:tmpl w:val="D6484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0"/>
  </w:num>
  <w:num w:numId="5">
    <w:abstractNumId w:val="5"/>
  </w:num>
  <w:num w:numId="6">
    <w:abstractNumId w:val="6"/>
  </w:num>
  <w:num w:numId="7">
    <w:abstractNumId w:val="8"/>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F00"/>
    <w:rsid w:val="000220F5"/>
    <w:rsid w:val="00030611"/>
    <w:rsid w:val="00057633"/>
    <w:rsid w:val="00082C11"/>
    <w:rsid w:val="000A520E"/>
    <w:rsid w:val="000C3D00"/>
    <w:rsid w:val="000E463E"/>
    <w:rsid w:val="00107BFD"/>
    <w:rsid w:val="001340F3"/>
    <w:rsid w:val="00140A46"/>
    <w:rsid w:val="00142E94"/>
    <w:rsid w:val="00152966"/>
    <w:rsid w:val="001904E1"/>
    <w:rsid w:val="001B2D5F"/>
    <w:rsid w:val="001C1258"/>
    <w:rsid w:val="001D0351"/>
    <w:rsid w:val="001D75B9"/>
    <w:rsid w:val="00204F5A"/>
    <w:rsid w:val="0021609C"/>
    <w:rsid w:val="00226ACF"/>
    <w:rsid w:val="002278D5"/>
    <w:rsid w:val="0025617C"/>
    <w:rsid w:val="00275F72"/>
    <w:rsid w:val="00281DFC"/>
    <w:rsid w:val="00297785"/>
    <w:rsid w:val="002A284F"/>
    <w:rsid w:val="002C5542"/>
    <w:rsid w:val="002D0C21"/>
    <w:rsid w:val="002F20BA"/>
    <w:rsid w:val="00326378"/>
    <w:rsid w:val="00460985"/>
    <w:rsid w:val="004622BE"/>
    <w:rsid w:val="00490652"/>
    <w:rsid w:val="004D1392"/>
    <w:rsid w:val="004D3EE6"/>
    <w:rsid w:val="0050408D"/>
    <w:rsid w:val="00527C69"/>
    <w:rsid w:val="005317D1"/>
    <w:rsid w:val="00531D44"/>
    <w:rsid w:val="005404E0"/>
    <w:rsid w:val="005475EF"/>
    <w:rsid w:val="00576F00"/>
    <w:rsid w:val="0058218C"/>
    <w:rsid w:val="00591116"/>
    <w:rsid w:val="00591271"/>
    <w:rsid w:val="005A7ABB"/>
    <w:rsid w:val="005C35C4"/>
    <w:rsid w:val="005C4389"/>
    <w:rsid w:val="005E6875"/>
    <w:rsid w:val="006316F2"/>
    <w:rsid w:val="0065283E"/>
    <w:rsid w:val="0067173B"/>
    <w:rsid w:val="006750F9"/>
    <w:rsid w:val="00676073"/>
    <w:rsid w:val="00684B83"/>
    <w:rsid w:val="00690532"/>
    <w:rsid w:val="006A6FAC"/>
    <w:rsid w:val="006B337F"/>
    <w:rsid w:val="006F65FD"/>
    <w:rsid w:val="007011F0"/>
    <w:rsid w:val="007101D0"/>
    <w:rsid w:val="00717762"/>
    <w:rsid w:val="00756BBC"/>
    <w:rsid w:val="00786FF9"/>
    <w:rsid w:val="00794C36"/>
    <w:rsid w:val="007A063A"/>
    <w:rsid w:val="007A7833"/>
    <w:rsid w:val="007C1BE2"/>
    <w:rsid w:val="007C58AC"/>
    <w:rsid w:val="007E71D3"/>
    <w:rsid w:val="00842012"/>
    <w:rsid w:val="00846FE9"/>
    <w:rsid w:val="00852B0B"/>
    <w:rsid w:val="00854F96"/>
    <w:rsid w:val="008555BB"/>
    <w:rsid w:val="00881C95"/>
    <w:rsid w:val="008C1758"/>
    <w:rsid w:val="008D4E39"/>
    <w:rsid w:val="008F04E0"/>
    <w:rsid w:val="008F46A4"/>
    <w:rsid w:val="008F51E6"/>
    <w:rsid w:val="0090125A"/>
    <w:rsid w:val="009305D3"/>
    <w:rsid w:val="00944594"/>
    <w:rsid w:val="009460BC"/>
    <w:rsid w:val="00985029"/>
    <w:rsid w:val="009B0D40"/>
    <w:rsid w:val="009E0173"/>
    <w:rsid w:val="00A207D3"/>
    <w:rsid w:val="00A25558"/>
    <w:rsid w:val="00A52F1C"/>
    <w:rsid w:val="00A6175E"/>
    <w:rsid w:val="00A83B7F"/>
    <w:rsid w:val="00A94EB0"/>
    <w:rsid w:val="00AA1381"/>
    <w:rsid w:val="00AA4460"/>
    <w:rsid w:val="00AB6A15"/>
    <w:rsid w:val="00AE3BD1"/>
    <w:rsid w:val="00B42595"/>
    <w:rsid w:val="00B576B2"/>
    <w:rsid w:val="00BD2A74"/>
    <w:rsid w:val="00C34083"/>
    <w:rsid w:val="00C46FE1"/>
    <w:rsid w:val="00C50B70"/>
    <w:rsid w:val="00C65CA8"/>
    <w:rsid w:val="00C70FC4"/>
    <w:rsid w:val="00C74906"/>
    <w:rsid w:val="00C974AB"/>
    <w:rsid w:val="00C97E71"/>
    <w:rsid w:val="00CB446B"/>
    <w:rsid w:val="00CC1059"/>
    <w:rsid w:val="00CD6528"/>
    <w:rsid w:val="00CF2768"/>
    <w:rsid w:val="00CF2C37"/>
    <w:rsid w:val="00D52B2B"/>
    <w:rsid w:val="00D753F4"/>
    <w:rsid w:val="00D77206"/>
    <w:rsid w:val="00D867AE"/>
    <w:rsid w:val="00DA4729"/>
    <w:rsid w:val="00DB70D5"/>
    <w:rsid w:val="00DD7759"/>
    <w:rsid w:val="00E0690D"/>
    <w:rsid w:val="00E3026C"/>
    <w:rsid w:val="00E73352"/>
    <w:rsid w:val="00E81317"/>
    <w:rsid w:val="00E87FAD"/>
    <w:rsid w:val="00E94BE7"/>
    <w:rsid w:val="00ED2BB0"/>
    <w:rsid w:val="00ED7777"/>
    <w:rsid w:val="00EE70A2"/>
    <w:rsid w:val="00EF3511"/>
    <w:rsid w:val="00F8438A"/>
    <w:rsid w:val="00F96EB3"/>
    <w:rsid w:val="00FB5829"/>
    <w:rsid w:val="00FC37A4"/>
    <w:rsid w:val="00FD07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F4D5A0"/>
  <w15:docId w15:val="{4C7CA318-54B9-4098-82B6-8E2D47935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6F00"/>
    <w:pPr>
      <w:ind w:left="720"/>
      <w:contextualSpacing/>
    </w:pPr>
  </w:style>
  <w:style w:type="paragraph" w:customStyle="1" w:styleId="Default">
    <w:name w:val="Default"/>
    <w:rsid w:val="002F20BA"/>
    <w:pPr>
      <w:autoSpaceDE w:val="0"/>
      <w:autoSpaceDN w:val="0"/>
      <w:adjustRightInd w:val="0"/>
      <w:spacing w:after="0" w:line="240" w:lineRule="auto"/>
    </w:pPr>
    <w:rPr>
      <w:rFonts w:ascii="DLFPL C+ Times" w:hAnsi="DLFPL C+ Times" w:cs="DLFPL C+ Times"/>
      <w:color w:val="000000"/>
      <w:sz w:val="24"/>
      <w:szCs w:val="24"/>
    </w:rPr>
  </w:style>
  <w:style w:type="paragraph" w:styleId="Header">
    <w:name w:val="header"/>
    <w:basedOn w:val="Normal"/>
    <w:link w:val="HeaderChar"/>
    <w:uiPriority w:val="99"/>
    <w:unhideWhenUsed/>
    <w:rsid w:val="00881C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1C95"/>
  </w:style>
  <w:style w:type="paragraph" w:styleId="Footer">
    <w:name w:val="footer"/>
    <w:basedOn w:val="Normal"/>
    <w:link w:val="FooterChar"/>
    <w:uiPriority w:val="99"/>
    <w:unhideWhenUsed/>
    <w:rsid w:val="00881C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1C95"/>
  </w:style>
  <w:style w:type="paragraph" w:styleId="BalloonText">
    <w:name w:val="Balloon Text"/>
    <w:basedOn w:val="Normal"/>
    <w:link w:val="BalloonTextChar"/>
    <w:uiPriority w:val="99"/>
    <w:semiHidden/>
    <w:unhideWhenUsed/>
    <w:rsid w:val="00881C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C95"/>
    <w:rPr>
      <w:rFonts w:ascii="Tahoma" w:hAnsi="Tahoma" w:cs="Tahoma"/>
      <w:sz w:val="16"/>
      <w:szCs w:val="16"/>
    </w:rPr>
  </w:style>
  <w:style w:type="table" w:styleId="TableGrid">
    <w:name w:val="Table Grid"/>
    <w:basedOn w:val="TableNormal"/>
    <w:uiPriority w:val="59"/>
    <w:rsid w:val="004D3E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34083"/>
    <w:rPr>
      <w:color w:val="0000FF" w:themeColor="hyperlink"/>
      <w:u w:val="single"/>
    </w:rPr>
  </w:style>
  <w:style w:type="character" w:styleId="FollowedHyperlink">
    <w:name w:val="FollowedHyperlink"/>
    <w:basedOn w:val="DefaultParagraphFont"/>
    <w:uiPriority w:val="99"/>
    <w:semiHidden/>
    <w:unhideWhenUsed/>
    <w:rsid w:val="00AE3BD1"/>
    <w:rPr>
      <w:color w:val="800080" w:themeColor="followedHyperlink"/>
      <w:u w:val="single"/>
    </w:rPr>
  </w:style>
  <w:style w:type="character" w:customStyle="1" w:styleId="reference-text">
    <w:name w:val="reference-text"/>
    <w:basedOn w:val="DefaultParagraphFont"/>
    <w:rsid w:val="00794C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724911">
      <w:bodyDiv w:val="1"/>
      <w:marLeft w:val="0"/>
      <w:marRight w:val="0"/>
      <w:marTop w:val="0"/>
      <w:marBottom w:val="0"/>
      <w:divBdr>
        <w:top w:val="none" w:sz="0" w:space="0" w:color="auto"/>
        <w:left w:val="none" w:sz="0" w:space="0" w:color="auto"/>
        <w:bottom w:val="none" w:sz="0" w:space="0" w:color="auto"/>
        <w:right w:val="none" w:sz="0" w:space="0" w:color="auto"/>
      </w:divBdr>
    </w:div>
    <w:div w:id="1179345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socialresearchmethods.net/kb/relandval.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C58A7-5B84-42BB-B94F-4731C1573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7</Pages>
  <Words>1312</Words>
  <Characters>7483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WSU</Company>
  <LinksUpToDate>false</LinksUpToDate>
  <CharactersWithSpaces>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dc:creator>
  <cp:lastModifiedBy>Malone, Christopher J</cp:lastModifiedBy>
  <cp:revision>10</cp:revision>
  <cp:lastPrinted>2017-11-07T19:18:00Z</cp:lastPrinted>
  <dcterms:created xsi:type="dcterms:W3CDTF">2017-11-07T19:35:00Z</dcterms:created>
  <dcterms:modified xsi:type="dcterms:W3CDTF">2018-11-27T18:47:00Z</dcterms:modified>
</cp:coreProperties>
</file>